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4BE8D875" w14:textId="77777777" w:rsidR="00276C84" w:rsidRDefault="00276C84" w:rsidP="00276C84">
      <w:pPr>
        <w:jc w:val="both"/>
        <w:rPr>
          <w:rFonts w:cstheme="minorHAnsi"/>
          <w:b/>
          <w:bCs/>
          <w:iCs/>
          <w:sz w:val="28"/>
          <w:szCs w:val="28"/>
          <w:u w:val="single"/>
        </w:rPr>
      </w:pPr>
    </w:p>
    <w:p w14:paraId="0F105BDD" w14:textId="28AA0721" w:rsidR="00FC2DA0" w:rsidRPr="00FC2DA0" w:rsidRDefault="00FC2DA0" w:rsidP="00FC2DA0">
      <w:pPr>
        <w:jc w:val="both"/>
        <w:rPr>
          <w:rFonts w:cstheme="minorHAnsi"/>
          <w:b/>
          <w:bCs/>
          <w:iCs/>
          <w:sz w:val="28"/>
          <w:szCs w:val="28"/>
          <w:u w:val="single"/>
          <w:lang w:val="en-US"/>
        </w:rPr>
      </w:pPr>
      <w:r w:rsidRPr="00FC2DA0">
        <w:rPr>
          <w:rFonts w:cstheme="minorHAnsi"/>
          <w:b/>
          <w:bCs/>
          <w:iCs/>
          <w:sz w:val="28"/>
          <w:szCs w:val="28"/>
          <w:u w:val="single"/>
          <w:lang w:val="en-US"/>
        </w:rPr>
        <w:t xml:space="preserve">Spatial single-cell profiling and </w:t>
      </w:r>
      <w:proofErr w:type="spellStart"/>
      <w:r w:rsidRPr="00FC2DA0">
        <w:rPr>
          <w:rFonts w:cstheme="minorHAnsi"/>
          <w:b/>
          <w:bCs/>
          <w:iCs/>
          <w:sz w:val="28"/>
          <w:szCs w:val="28"/>
          <w:u w:val="single"/>
          <w:lang w:val="en-US"/>
        </w:rPr>
        <w:t>neighbourhood</w:t>
      </w:r>
      <w:proofErr w:type="spellEnd"/>
      <w:r w:rsidRPr="00FC2DA0">
        <w:rPr>
          <w:rFonts w:cstheme="minorHAnsi"/>
          <w:b/>
          <w:bCs/>
          <w:iCs/>
          <w:sz w:val="28"/>
          <w:szCs w:val="28"/>
          <w:u w:val="single"/>
          <w:lang w:val="en-US"/>
        </w:rPr>
        <w:t xml:space="preserve"> analysis reveal the determinants of immune architecture connected to checkpoint inhibitor therapy outcome in hepatocellular carcinoma</w:t>
      </w:r>
    </w:p>
    <w:p w14:paraId="01A0EEDA" w14:textId="77777777" w:rsidR="00FC2DA0" w:rsidRPr="00FC2DA0" w:rsidRDefault="00FC2DA0" w:rsidP="00FC2DA0">
      <w:pPr>
        <w:jc w:val="both"/>
        <w:rPr>
          <w:rFonts w:cstheme="minorHAnsi"/>
          <w:i/>
          <w:sz w:val="28"/>
          <w:szCs w:val="28"/>
          <w:lang w:val="en-US"/>
        </w:rPr>
      </w:pPr>
      <w:proofErr w:type="spellStart"/>
      <w:r w:rsidRPr="00FC2DA0">
        <w:rPr>
          <w:rFonts w:cstheme="minorHAnsi"/>
          <w:i/>
          <w:sz w:val="28"/>
          <w:szCs w:val="28"/>
          <w:lang w:val="en-US"/>
        </w:rPr>
        <w:t>Salié</w:t>
      </w:r>
      <w:proofErr w:type="spellEnd"/>
      <w:r w:rsidRPr="00FC2DA0">
        <w:rPr>
          <w:rFonts w:cstheme="minorHAnsi"/>
          <w:i/>
          <w:sz w:val="28"/>
          <w:szCs w:val="28"/>
          <w:lang w:val="en-US"/>
        </w:rPr>
        <w:t xml:space="preserve"> H, </w:t>
      </w:r>
      <w:proofErr w:type="spellStart"/>
      <w:r w:rsidRPr="00FC2DA0">
        <w:rPr>
          <w:rFonts w:cstheme="minorHAnsi"/>
          <w:i/>
          <w:sz w:val="28"/>
          <w:szCs w:val="28"/>
          <w:lang w:val="en-US"/>
        </w:rPr>
        <w:t>Wischer</w:t>
      </w:r>
      <w:proofErr w:type="spellEnd"/>
      <w:r w:rsidRPr="00FC2DA0">
        <w:rPr>
          <w:rFonts w:cstheme="minorHAnsi"/>
          <w:i/>
          <w:sz w:val="28"/>
          <w:szCs w:val="28"/>
          <w:lang w:val="en-US"/>
        </w:rPr>
        <w:t xml:space="preserve"> L, </w:t>
      </w:r>
      <w:proofErr w:type="spellStart"/>
      <w:r w:rsidRPr="00FC2DA0">
        <w:rPr>
          <w:rFonts w:cstheme="minorHAnsi"/>
          <w:i/>
          <w:sz w:val="28"/>
          <w:szCs w:val="28"/>
          <w:lang w:val="en-US"/>
        </w:rPr>
        <w:t>D’Alessio</w:t>
      </w:r>
      <w:proofErr w:type="spellEnd"/>
      <w:r w:rsidRPr="00FC2DA0">
        <w:rPr>
          <w:rFonts w:cstheme="minorHAnsi"/>
          <w:i/>
          <w:sz w:val="28"/>
          <w:szCs w:val="28"/>
          <w:lang w:val="en-US"/>
        </w:rPr>
        <w:t xml:space="preserve"> A, et al. Spatial single-cell profiling and </w:t>
      </w:r>
      <w:proofErr w:type="spellStart"/>
      <w:r w:rsidRPr="00FC2DA0">
        <w:rPr>
          <w:rFonts w:cstheme="minorHAnsi"/>
          <w:i/>
          <w:sz w:val="28"/>
          <w:szCs w:val="28"/>
          <w:lang w:val="en-US"/>
        </w:rPr>
        <w:t>neighbourhood</w:t>
      </w:r>
      <w:proofErr w:type="spellEnd"/>
      <w:r w:rsidRPr="00FC2DA0">
        <w:rPr>
          <w:rFonts w:cstheme="minorHAnsi"/>
          <w:i/>
          <w:sz w:val="28"/>
          <w:szCs w:val="28"/>
          <w:lang w:val="en-US"/>
        </w:rPr>
        <w:t xml:space="preserve"> analysis reveal the determinants of immune architecture connected to checkpoint inhibitor therapy outcome in hepatocellular carcinoma. Gut 2025; 74: 451-466. </w:t>
      </w:r>
      <w:proofErr w:type="spellStart"/>
      <w:r w:rsidRPr="00FC2DA0">
        <w:rPr>
          <w:rFonts w:cstheme="minorHAnsi"/>
          <w:i/>
          <w:sz w:val="28"/>
          <w:szCs w:val="28"/>
          <w:lang w:val="en-US"/>
        </w:rPr>
        <w:t>doi</w:t>
      </w:r>
      <w:proofErr w:type="spellEnd"/>
      <w:r w:rsidRPr="00FC2DA0">
        <w:rPr>
          <w:rFonts w:cstheme="minorHAnsi"/>
          <w:i/>
          <w:sz w:val="28"/>
          <w:szCs w:val="28"/>
          <w:lang w:val="en-US"/>
        </w:rPr>
        <w:t>: 10.1136/gutjnl-2024-332837.</w:t>
      </w:r>
    </w:p>
    <w:p w14:paraId="15F7D234" w14:textId="77777777" w:rsidR="00FC2DA0" w:rsidRPr="00FC2DA0" w:rsidRDefault="00FC2DA0" w:rsidP="00FC2DA0">
      <w:pPr>
        <w:jc w:val="both"/>
        <w:rPr>
          <w:rFonts w:cstheme="minorHAnsi"/>
          <w:b/>
          <w:bCs/>
          <w:iCs/>
          <w:sz w:val="28"/>
          <w:szCs w:val="28"/>
          <w:u w:val="single"/>
          <w:lang w:val="en-US"/>
        </w:rPr>
      </w:pPr>
    </w:p>
    <w:p w14:paraId="5EADE907" w14:textId="37A741A9" w:rsidR="00FC2DA0" w:rsidRPr="00FC2DA0" w:rsidRDefault="00FC2DA0" w:rsidP="00FC2DA0">
      <w:pPr>
        <w:jc w:val="both"/>
        <w:rPr>
          <w:rFonts w:cstheme="minorHAnsi"/>
          <w:iCs/>
          <w:sz w:val="28"/>
          <w:szCs w:val="28"/>
          <w:lang w:val="en-US"/>
        </w:rPr>
      </w:pPr>
      <w:r w:rsidRPr="00FC2DA0">
        <w:rPr>
          <w:rFonts w:cstheme="minorHAnsi"/>
          <w:iCs/>
          <w:sz w:val="28"/>
          <w:szCs w:val="28"/>
          <w:lang w:val="en-US"/>
        </w:rPr>
        <w:t xml:space="preserve">A large proportion of patients with hepatocellular carcinoma (HCC) do not respond to current immunotherapies.  Previous classifications of HCC based on immune features identified by transcriptomic and proteomic analysis have not been able to predict outcomes to immunotherapy therapy. The spatial </w:t>
      </w:r>
      <w:proofErr w:type="spellStart"/>
      <w:r w:rsidRPr="00FC2DA0">
        <w:rPr>
          <w:rFonts w:cstheme="minorHAnsi"/>
          <w:iCs/>
          <w:sz w:val="28"/>
          <w:szCs w:val="28"/>
          <w:lang w:val="en-US"/>
        </w:rPr>
        <w:t>organisation</w:t>
      </w:r>
      <w:proofErr w:type="spellEnd"/>
      <w:r w:rsidRPr="00FC2DA0">
        <w:rPr>
          <w:rFonts w:cstheme="minorHAnsi"/>
          <w:iCs/>
          <w:sz w:val="28"/>
          <w:szCs w:val="28"/>
          <w:lang w:val="en-US"/>
        </w:rPr>
        <w:t xml:space="preserve"> of the anti-</w:t>
      </w:r>
      <w:proofErr w:type="spellStart"/>
      <w:r w:rsidRPr="00FC2DA0">
        <w:rPr>
          <w:rFonts w:cstheme="minorHAnsi"/>
          <w:iCs/>
          <w:sz w:val="28"/>
          <w:szCs w:val="28"/>
          <w:lang w:val="en-US"/>
        </w:rPr>
        <w:t>tumour</w:t>
      </w:r>
      <w:proofErr w:type="spellEnd"/>
      <w:r w:rsidRPr="00FC2DA0">
        <w:rPr>
          <w:rFonts w:cstheme="minorHAnsi"/>
          <w:iCs/>
          <w:sz w:val="28"/>
          <w:szCs w:val="28"/>
          <w:lang w:val="en-US"/>
        </w:rPr>
        <w:t xml:space="preserve"> immune response is emerging as a determinant in the response to immunotherapy.</w:t>
      </w:r>
    </w:p>
    <w:p w14:paraId="16356E3A" w14:textId="65211C35" w:rsidR="00FC2DA0" w:rsidRPr="00FC2DA0" w:rsidRDefault="00FC2DA0" w:rsidP="00FC2DA0">
      <w:pPr>
        <w:jc w:val="both"/>
        <w:rPr>
          <w:rFonts w:cstheme="minorHAnsi"/>
          <w:iCs/>
          <w:sz w:val="28"/>
          <w:szCs w:val="28"/>
          <w:lang w:val="en-US"/>
        </w:rPr>
      </w:pPr>
      <w:r w:rsidRPr="00FC2DA0">
        <w:rPr>
          <w:rFonts w:cstheme="minorHAnsi"/>
          <w:iCs/>
          <w:sz w:val="28"/>
          <w:szCs w:val="28"/>
          <w:lang w:val="en-US"/>
        </w:rPr>
        <w:t xml:space="preserve">In this study, </w:t>
      </w:r>
      <w:proofErr w:type="spellStart"/>
      <w:r w:rsidRPr="00FC2DA0">
        <w:rPr>
          <w:rFonts w:cstheme="minorHAnsi"/>
          <w:iCs/>
          <w:sz w:val="28"/>
          <w:szCs w:val="28"/>
          <w:lang w:val="en-US"/>
        </w:rPr>
        <w:t>Salié</w:t>
      </w:r>
      <w:proofErr w:type="spellEnd"/>
      <w:r w:rsidRPr="00FC2DA0">
        <w:rPr>
          <w:rFonts w:cstheme="minorHAnsi"/>
          <w:iCs/>
          <w:sz w:val="28"/>
          <w:szCs w:val="28"/>
          <w:lang w:val="en-US"/>
        </w:rPr>
        <w:t xml:space="preserve"> et al., </w:t>
      </w:r>
      <w:proofErr w:type="spellStart"/>
      <w:r w:rsidRPr="00FC2DA0">
        <w:rPr>
          <w:rFonts w:cstheme="minorHAnsi"/>
          <w:iCs/>
          <w:sz w:val="28"/>
          <w:szCs w:val="28"/>
          <w:lang w:val="en-US"/>
        </w:rPr>
        <w:t>utilised</w:t>
      </w:r>
      <w:proofErr w:type="spellEnd"/>
      <w:r w:rsidRPr="00FC2DA0">
        <w:rPr>
          <w:rFonts w:cstheme="minorHAnsi"/>
          <w:iCs/>
          <w:sz w:val="28"/>
          <w:szCs w:val="28"/>
          <w:lang w:val="en-US"/>
        </w:rPr>
        <w:t xml:space="preserve"> highly multiplexed imaging mass cytometry (IMC) to </w:t>
      </w:r>
      <w:proofErr w:type="spellStart"/>
      <w:r w:rsidRPr="00FC2DA0">
        <w:rPr>
          <w:rFonts w:cstheme="minorHAnsi"/>
          <w:iCs/>
          <w:sz w:val="28"/>
          <w:szCs w:val="28"/>
          <w:lang w:val="en-US"/>
        </w:rPr>
        <w:t>characterise</w:t>
      </w:r>
      <w:proofErr w:type="spellEnd"/>
      <w:r w:rsidRPr="00FC2DA0">
        <w:rPr>
          <w:rFonts w:cstheme="minorHAnsi"/>
          <w:iCs/>
          <w:sz w:val="28"/>
          <w:szCs w:val="28"/>
          <w:lang w:val="en-US"/>
        </w:rPr>
        <w:t xml:space="preserve"> the immune architecture of the </w:t>
      </w:r>
      <w:proofErr w:type="spellStart"/>
      <w:r w:rsidRPr="00FC2DA0">
        <w:rPr>
          <w:rFonts w:cstheme="minorHAnsi"/>
          <w:iCs/>
          <w:sz w:val="28"/>
          <w:szCs w:val="28"/>
          <w:lang w:val="en-US"/>
        </w:rPr>
        <w:t>tumour</w:t>
      </w:r>
      <w:proofErr w:type="spellEnd"/>
      <w:r w:rsidRPr="00FC2DA0">
        <w:rPr>
          <w:rFonts w:cstheme="minorHAnsi"/>
          <w:iCs/>
          <w:sz w:val="28"/>
          <w:szCs w:val="28"/>
          <w:lang w:val="en-US"/>
        </w:rPr>
        <w:t xml:space="preserve"> microenvironment of 101 HCC tissues. IMC is a novel advanced technique to </w:t>
      </w:r>
      <w:proofErr w:type="spellStart"/>
      <w:r w:rsidRPr="00FC2DA0">
        <w:rPr>
          <w:rFonts w:cstheme="minorHAnsi"/>
          <w:iCs/>
          <w:sz w:val="28"/>
          <w:szCs w:val="28"/>
          <w:lang w:val="en-US"/>
        </w:rPr>
        <w:t>analyse</w:t>
      </w:r>
      <w:proofErr w:type="spellEnd"/>
      <w:r w:rsidRPr="00FC2DA0">
        <w:rPr>
          <w:rFonts w:cstheme="minorHAnsi"/>
          <w:iCs/>
          <w:sz w:val="28"/>
          <w:szCs w:val="28"/>
          <w:lang w:val="en-US"/>
        </w:rPr>
        <w:t xml:space="preserve"> the spatial distribution and molecular composition of tissues. They found significant heterogeneity between HCC specimens and within the specimen between the </w:t>
      </w:r>
      <w:proofErr w:type="spellStart"/>
      <w:r w:rsidRPr="00FC2DA0">
        <w:rPr>
          <w:rFonts w:cstheme="minorHAnsi"/>
          <w:iCs/>
          <w:sz w:val="28"/>
          <w:szCs w:val="28"/>
          <w:lang w:val="en-US"/>
        </w:rPr>
        <w:t>tumour</w:t>
      </w:r>
      <w:proofErr w:type="spellEnd"/>
      <w:r w:rsidRPr="00FC2DA0">
        <w:rPr>
          <w:rFonts w:cstheme="minorHAnsi"/>
          <w:iCs/>
          <w:sz w:val="28"/>
          <w:szCs w:val="28"/>
          <w:lang w:val="en-US"/>
        </w:rPr>
        <w:t xml:space="preserve"> parenchyma and the stroma. They employed bioinformatic techniques to identify three major immune architectures with different immune cell and checkpoint patterns.</w:t>
      </w:r>
    </w:p>
    <w:p w14:paraId="1AD26A82" w14:textId="77777777" w:rsidR="00FC2DA0" w:rsidRPr="00FC2DA0" w:rsidRDefault="00FC2DA0" w:rsidP="00FC2DA0">
      <w:pPr>
        <w:jc w:val="both"/>
        <w:rPr>
          <w:rFonts w:cstheme="minorHAnsi"/>
          <w:iCs/>
          <w:sz w:val="28"/>
          <w:szCs w:val="28"/>
          <w:lang w:val="en-US"/>
        </w:rPr>
      </w:pPr>
      <w:r w:rsidRPr="00FC2DA0">
        <w:rPr>
          <w:rFonts w:cstheme="minorHAnsi"/>
          <w:iCs/>
          <w:sz w:val="28"/>
          <w:szCs w:val="28"/>
          <w:lang w:val="en-US"/>
        </w:rPr>
        <w:t>The team developed a simplified spatial immune classification which accounted for the amount and distribution of CD8 (cluster of differentiation 8) T cells and the stromal/parenchymal distribution. They validated this in an independent cohort and examined the ability to predict outcomes in response to immunotherapy and found that spatial immune architecture correlated with therapy outcome.</w:t>
      </w:r>
    </w:p>
    <w:p w14:paraId="359AD71F" w14:textId="14840457" w:rsidR="00C8554A" w:rsidRPr="00FC2DA0" w:rsidRDefault="00FC2DA0" w:rsidP="00FC2DA0">
      <w:pPr>
        <w:jc w:val="both"/>
        <w:rPr>
          <w:rFonts w:cstheme="minorHAnsi"/>
          <w:iCs/>
          <w:sz w:val="28"/>
          <w:szCs w:val="28"/>
          <w:lang w:val="en-US"/>
        </w:rPr>
      </w:pPr>
      <w:r w:rsidRPr="00FC2DA0">
        <w:rPr>
          <w:rFonts w:cstheme="minorHAnsi"/>
          <w:iCs/>
          <w:sz w:val="28"/>
          <w:szCs w:val="28"/>
          <w:lang w:val="en-US"/>
        </w:rPr>
        <w:t>They postulate that their spatial immune classification may be translated into a clinical prediction tool for immunotherapy response in HCC patients and therefore guide rational therapy selection.</w:t>
      </w:r>
    </w:p>
    <w:sectPr w:rsidR="00C8554A" w:rsidRPr="00FC2D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431EB"/>
    <w:rsid w:val="00093C9A"/>
    <w:rsid w:val="001516B4"/>
    <w:rsid w:val="00163271"/>
    <w:rsid w:val="0019001B"/>
    <w:rsid w:val="00276C84"/>
    <w:rsid w:val="002D15FF"/>
    <w:rsid w:val="00317CD9"/>
    <w:rsid w:val="003960AF"/>
    <w:rsid w:val="003F3DE4"/>
    <w:rsid w:val="00472114"/>
    <w:rsid w:val="004B4D31"/>
    <w:rsid w:val="00554C06"/>
    <w:rsid w:val="005E2702"/>
    <w:rsid w:val="006360D2"/>
    <w:rsid w:val="00665E23"/>
    <w:rsid w:val="007860FE"/>
    <w:rsid w:val="007B2395"/>
    <w:rsid w:val="00835646"/>
    <w:rsid w:val="008743EE"/>
    <w:rsid w:val="00982135"/>
    <w:rsid w:val="00996C64"/>
    <w:rsid w:val="009F120A"/>
    <w:rsid w:val="00BD133C"/>
    <w:rsid w:val="00BE5DFA"/>
    <w:rsid w:val="00C8554A"/>
    <w:rsid w:val="00CE07EA"/>
    <w:rsid w:val="00D20090"/>
    <w:rsid w:val="00E45986"/>
    <w:rsid w:val="00E46D7A"/>
    <w:rsid w:val="00E833DF"/>
    <w:rsid w:val="00EB4F0B"/>
    <w:rsid w:val="00F84D05"/>
    <w:rsid w:val="00FC2D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81">
      <w:bodyDiv w:val="1"/>
      <w:marLeft w:val="0"/>
      <w:marRight w:val="0"/>
      <w:marTop w:val="0"/>
      <w:marBottom w:val="0"/>
      <w:divBdr>
        <w:top w:val="none" w:sz="0" w:space="0" w:color="auto"/>
        <w:left w:val="none" w:sz="0" w:space="0" w:color="auto"/>
        <w:bottom w:val="none" w:sz="0" w:space="0" w:color="auto"/>
        <w:right w:val="none" w:sz="0" w:space="0" w:color="auto"/>
      </w:divBdr>
    </w:div>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42299370">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373774914">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019047357">
      <w:bodyDiv w:val="1"/>
      <w:marLeft w:val="0"/>
      <w:marRight w:val="0"/>
      <w:marTop w:val="0"/>
      <w:marBottom w:val="0"/>
      <w:divBdr>
        <w:top w:val="none" w:sz="0" w:space="0" w:color="auto"/>
        <w:left w:val="none" w:sz="0" w:space="0" w:color="auto"/>
        <w:bottom w:val="none" w:sz="0" w:space="0" w:color="auto"/>
        <w:right w:val="none" w:sz="0" w:space="0" w:color="auto"/>
      </w:divBdr>
    </w:div>
    <w:div w:id="1082944218">
      <w:bodyDiv w:val="1"/>
      <w:marLeft w:val="0"/>
      <w:marRight w:val="0"/>
      <w:marTop w:val="0"/>
      <w:marBottom w:val="0"/>
      <w:divBdr>
        <w:top w:val="none" w:sz="0" w:space="0" w:color="auto"/>
        <w:left w:val="none" w:sz="0" w:space="0" w:color="auto"/>
        <w:bottom w:val="none" w:sz="0" w:space="0" w:color="auto"/>
        <w:right w:val="none" w:sz="0" w:space="0" w:color="auto"/>
      </w:divBdr>
    </w:div>
    <w:div w:id="1104228861">
      <w:bodyDiv w:val="1"/>
      <w:marLeft w:val="0"/>
      <w:marRight w:val="0"/>
      <w:marTop w:val="0"/>
      <w:marBottom w:val="0"/>
      <w:divBdr>
        <w:top w:val="none" w:sz="0" w:space="0" w:color="auto"/>
        <w:left w:val="none" w:sz="0" w:space="0" w:color="auto"/>
        <w:bottom w:val="none" w:sz="0" w:space="0" w:color="auto"/>
        <w:right w:val="none" w:sz="0" w:space="0" w:color="auto"/>
      </w:divBdr>
    </w:div>
    <w:div w:id="1150974924">
      <w:bodyDiv w:val="1"/>
      <w:marLeft w:val="0"/>
      <w:marRight w:val="0"/>
      <w:marTop w:val="0"/>
      <w:marBottom w:val="0"/>
      <w:divBdr>
        <w:top w:val="none" w:sz="0" w:space="0" w:color="auto"/>
        <w:left w:val="none" w:sz="0" w:space="0" w:color="auto"/>
        <w:bottom w:val="none" w:sz="0" w:space="0" w:color="auto"/>
        <w:right w:val="none" w:sz="0" w:space="0" w:color="auto"/>
      </w:divBdr>
    </w:div>
    <w:div w:id="1289314456">
      <w:bodyDiv w:val="1"/>
      <w:marLeft w:val="0"/>
      <w:marRight w:val="0"/>
      <w:marTop w:val="0"/>
      <w:marBottom w:val="0"/>
      <w:divBdr>
        <w:top w:val="none" w:sz="0" w:space="0" w:color="auto"/>
        <w:left w:val="none" w:sz="0" w:space="0" w:color="auto"/>
        <w:bottom w:val="none" w:sz="0" w:space="0" w:color="auto"/>
        <w:right w:val="none" w:sz="0" w:space="0" w:color="auto"/>
      </w:divBdr>
    </w:div>
    <w:div w:id="1484925492">
      <w:bodyDiv w:val="1"/>
      <w:marLeft w:val="0"/>
      <w:marRight w:val="0"/>
      <w:marTop w:val="0"/>
      <w:marBottom w:val="0"/>
      <w:divBdr>
        <w:top w:val="none" w:sz="0" w:space="0" w:color="auto"/>
        <w:left w:val="none" w:sz="0" w:space="0" w:color="auto"/>
        <w:bottom w:val="none" w:sz="0" w:space="0" w:color="auto"/>
        <w:right w:val="none" w:sz="0" w:space="0" w:color="auto"/>
      </w:divBdr>
    </w:div>
    <w:div w:id="1546327923">
      <w:bodyDiv w:val="1"/>
      <w:marLeft w:val="0"/>
      <w:marRight w:val="0"/>
      <w:marTop w:val="0"/>
      <w:marBottom w:val="0"/>
      <w:divBdr>
        <w:top w:val="none" w:sz="0" w:space="0" w:color="auto"/>
        <w:left w:val="none" w:sz="0" w:space="0" w:color="auto"/>
        <w:bottom w:val="none" w:sz="0" w:space="0" w:color="auto"/>
        <w:right w:val="none" w:sz="0" w:space="0" w:color="auto"/>
      </w:divBdr>
    </w:div>
    <w:div w:id="1573614700">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25781359">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1953509207">
      <w:bodyDiv w:val="1"/>
      <w:marLeft w:val="0"/>
      <w:marRight w:val="0"/>
      <w:marTop w:val="0"/>
      <w:marBottom w:val="0"/>
      <w:divBdr>
        <w:top w:val="none" w:sz="0" w:space="0" w:color="auto"/>
        <w:left w:val="none" w:sz="0" w:space="0" w:color="auto"/>
        <w:bottom w:val="none" w:sz="0" w:space="0" w:color="auto"/>
        <w:right w:val="none" w:sz="0" w:space="0" w:color="auto"/>
      </w:divBdr>
    </w:div>
    <w:div w:id="1953709513">
      <w:bodyDiv w:val="1"/>
      <w:marLeft w:val="0"/>
      <w:marRight w:val="0"/>
      <w:marTop w:val="0"/>
      <w:marBottom w:val="0"/>
      <w:divBdr>
        <w:top w:val="none" w:sz="0" w:space="0" w:color="auto"/>
        <w:left w:val="none" w:sz="0" w:space="0" w:color="auto"/>
        <w:bottom w:val="none" w:sz="0" w:space="0" w:color="auto"/>
        <w:right w:val="none" w:sz="0" w:space="0" w:color="auto"/>
      </w:divBdr>
    </w:div>
    <w:div w:id="196531248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1187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291</Words>
  <Characters>1723</Characters>
  <Application>Microsoft Office Word</Application>
  <DocSecurity>0</DocSecurity>
  <Lines>32</Lines>
  <Paragraphs>7</Paragraphs>
  <ScaleCrop>false</ScaleCrop>
  <Company/>
  <LinksUpToDate>false</LinksUpToDate>
  <CharactersWithSpaces>2007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2</cp:revision>
  <dcterms:created xsi:type="dcterms:W3CDTF">2025-04-07T08:34:00Z</dcterms:created>
  <dcterms:modified xsi:type="dcterms:W3CDTF">2025-04-07T08:34:00Z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