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4BE8D875" w14:textId="77777777" w:rsidR="00276C84" w:rsidRDefault="00276C84" w:rsidP="00276C84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33BA45EB" w14:textId="0F712BD8" w:rsidR="00276C84" w:rsidRPr="00276C84" w:rsidRDefault="00276C84" w:rsidP="00276C84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276C84">
        <w:rPr>
          <w:rFonts w:cstheme="minorHAnsi"/>
          <w:b/>
          <w:bCs/>
          <w:iCs/>
          <w:sz w:val="28"/>
          <w:szCs w:val="28"/>
          <w:u w:val="single"/>
        </w:rPr>
        <w:t>Long-term hepatitis B surface antigen response after finite treatment of ARC-520 or JNJ-3989</w:t>
      </w:r>
    </w:p>
    <w:p w14:paraId="3B08C5E0" w14:textId="6CFFE735" w:rsidR="00276C84" w:rsidRPr="00276C84" w:rsidRDefault="00276C84" w:rsidP="00276C84">
      <w:pPr>
        <w:jc w:val="both"/>
        <w:rPr>
          <w:rFonts w:cstheme="minorHAnsi"/>
          <w:i/>
          <w:sz w:val="28"/>
          <w:szCs w:val="28"/>
        </w:rPr>
      </w:pPr>
      <w:r w:rsidRPr="00276C84">
        <w:rPr>
          <w:rFonts w:cstheme="minorHAnsi"/>
          <w:i/>
          <w:sz w:val="28"/>
          <w:szCs w:val="28"/>
        </w:rPr>
        <w:t xml:space="preserve">Mak L, </w:t>
      </w:r>
      <w:proofErr w:type="spellStart"/>
      <w:r w:rsidRPr="00276C84">
        <w:rPr>
          <w:rFonts w:cstheme="minorHAnsi"/>
          <w:i/>
          <w:sz w:val="28"/>
          <w:szCs w:val="28"/>
        </w:rPr>
        <w:t>Wooddell</w:t>
      </w:r>
      <w:proofErr w:type="spellEnd"/>
      <w:r w:rsidRPr="00276C84">
        <w:rPr>
          <w:rFonts w:cstheme="minorHAnsi"/>
          <w:i/>
          <w:sz w:val="28"/>
          <w:szCs w:val="28"/>
        </w:rPr>
        <w:t xml:space="preserve"> C, Lenz O, et al. Long-term hepatitis B surface antigen response after finite treatment of ARC-520 or JNJ-3989. Gut 2025; 74: 440-450. </w:t>
      </w:r>
      <w:proofErr w:type="spellStart"/>
      <w:r w:rsidRPr="00276C84">
        <w:rPr>
          <w:rFonts w:cstheme="minorHAnsi"/>
          <w:i/>
          <w:sz w:val="28"/>
          <w:szCs w:val="28"/>
        </w:rPr>
        <w:t>doi</w:t>
      </w:r>
      <w:proofErr w:type="spellEnd"/>
      <w:r w:rsidRPr="00276C84">
        <w:rPr>
          <w:rFonts w:cstheme="minorHAnsi"/>
          <w:i/>
          <w:sz w:val="28"/>
          <w:szCs w:val="28"/>
        </w:rPr>
        <w:t>: 10.1136/gutjnl-2024-333026.</w:t>
      </w:r>
    </w:p>
    <w:p w14:paraId="2DF0D29A" w14:textId="131967FB" w:rsidR="00276C84" w:rsidRPr="00276C84" w:rsidRDefault="00276C84" w:rsidP="00276C84">
      <w:pPr>
        <w:jc w:val="both"/>
        <w:rPr>
          <w:rFonts w:cstheme="minorHAnsi"/>
          <w:iCs/>
          <w:sz w:val="28"/>
          <w:szCs w:val="28"/>
        </w:rPr>
      </w:pPr>
      <w:proofErr w:type="spellStart"/>
      <w:r w:rsidRPr="00276C84">
        <w:rPr>
          <w:rFonts w:cstheme="minorHAnsi"/>
          <w:iCs/>
          <w:sz w:val="28"/>
          <w:szCs w:val="28"/>
        </w:rPr>
        <w:t>Nucleos</w:t>
      </w:r>
      <w:proofErr w:type="spellEnd"/>
      <w:r w:rsidRPr="00276C84">
        <w:rPr>
          <w:rFonts w:cstheme="minorHAnsi"/>
          <w:iCs/>
          <w:sz w:val="28"/>
          <w:szCs w:val="28"/>
        </w:rPr>
        <w:t xml:space="preserve">(t)ide analogues are standard of care for patients with chronic hepatitis B (CHB), however annually only 1-4% of patients on-treatment will achieve functional cure, defined as loss of HBsAg for ≥6 months. Small interfering RNAs (siRNAs) regulate transcription by inducing degradation of the target </w:t>
      </w:r>
      <w:proofErr w:type="gramStart"/>
      <w:r w:rsidRPr="00276C84">
        <w:rPr>
          <w:rFonts w:cstheme="minorHAnsi"/>
          <w:iCs/>
          <w:sz w:val="28"/>
          <w:szCs w:val="28"/>
        </w:rPr>
        <w:t>sequence, and</w:t>
      </w:r>
      <w:proofErr w:type="gramEnd"/>
      <w:r w:rsidRPr="00276C84">
        <w:rPr>
          <w:rFonts w:cstheme="minorHAnsi"/>
          <w:iCs/>
          <w:sz w:val="28"/>
          <w:szCs w:val="28"/>
        </w:rPr>
        <w:t xml:space="preserve"> have been studied as a potential cure for CHB in Phase 2 clinical trials. Authors recruited patients from three existing trials using two different siRNAs (ARC-520 and JNJ-3989) for long-term follow-up (LFU) </w:t>
      </w:r>
      <w:proofErr w:type="gramStart"/>
      <w:r w:rsidRPr="00276C84">
        <w:rPr>
          <w:rFonts w:cstheme="minorHAnsi"/>
          <w:iCs/>
          <w:sz w:val="28"/>
          <w:szCs w:val="28"/>
        </w:rPr>
        <w:t>in order to</w:t>
      </w:r>
      <w:proofErr w:type="gramEnd"/>
      <w:r w:rsidRPr="00276C84">
        <w:rPr>
          <w:rFonts w:cstheme="minorHAnsi"/>
          <w:iCs/>
          <w:sz w:val="28"/>
          <w:szCs w:val="28"/>
        </w:rPr>
        <w:t xml:space="preserve"> study long-term outcomes of siRNA treatment.</w:t>
      </w:r>
    </w:p>
    <w:p w14:paraId="54770EDE" w14:textId="3AC9E869" w:rsidR="00276C84" w:rsidRPr="00276C84" w:rsidRDefault="00276C84" w:rsidP="00276C84">
      <w:pPr>
        <w:jc w:val="both"/>
        <w:rPr>
          <w:rFonts w:cstheme="minorHAnsi"/>
          <w:iCs/>
          <w:sz w:val="28"/>
          <w:szCs w:val="28"/>
        </w:rPr>
      </w:pPr>
      <w:r w:rsidRPr="00276C84">
        <w:rPr>
          <w:rFonts w:cstheme="minorHAnsi"/>
          <w:iCs/>
          <w:sz w:val="28"/>
          <w:szCs w:val="28"/>
        </w:rPr>
        <w:t xml:space="preserve">The trials were heterogeneous in design, delivering between 8-12 weeks of an siRNA at different doses and frequencies, and in one trial without a control arm. 58 participants were recruited for LFU for up to 6 years: 53 received siRNA and 5 </w:t>
      </w:r>
      <w:proofErr w:type="gramStart"/>
      <w:r w:rsidRPr="00276C84">
        <w:rPr>
          <w:rFonts w:cstheme="minorHAnsi"/>
          <w:iCs/>
          <w:sz w:val="28"/>
          <w:szCs w:val="28"/>
        </w:rPr>
        <w:t>placebo</w:t>
      </w:r>
      <w:proofErr w:type="gramEnd"/>
      <w:r w:rsidRPr="00276C84">
        <w:rPr>
          <w:rFonts w:cstheme="minorHAnsi"/>
          <w:iCs/>
          <w:sz w:val="28"/>
          <w:szCs w:val="28"/>
        </w:rPr>
        <w:t xml:space="preserve">. All were of Chinese ethnicity and remained on NUC. </w:t>
      </w:r>
    </w:p>
    <w:p w14:paraId="7D55235F" w14:textId="63D300F8" w:rsidR="00276C84" w:rsidRPr="00276C84" w:rsidRDefault="00276C84" w:rsidP="00276C84">
      <w:pPr>
        <w:jc w:val="both"/>
        <w:rPr>
          <w:rFonts w:cstheme="minorHAnsi"/>
          <w:iCs/>
          <w:sz w:val="28"/>
          <w:szCs w:val="28"/>
        </w:rPr>
      </w:pPr>
      <w:r w:rsidRPr="00276C84">
        <w:rPr>
          <w:rFonts w:cstheme="minorHAnsi"/>
          <w:iCs/>
          <w:sz w:val="28"/>
          <w:szCs w:val="28"/>
        </w:rPr>
        <w:t>Only 1 participant (siRNA treated) achieved HBsAg clearance. The siRNA group saw greater reduction in HBsAg levels compared to placebo in both the short-term (1.58 log and 0.53 log respectively) and the long-term (0.85 log and 0.52 log respectively). At LFU, 49% of the siRNA group sustained HBsAg levels &lt;100 IU/ml compared to 0% in the placebo group. No safety concerns were raised.</w:t>
      </w:r>
    </w:p>
    <w:p w14:paraId="359AD71F" w14:textId="463AE46E" w:rsidR="00C8554A" w:rsidRPr="00E46D7A" w:rsidRDefault="00276C84" w:rsidP="00276C84">
      <w:pPr>
        <w:jc w:val="both"/>
        <w:rPr>
          <w:rFonts w:cstheme="minorHAnsi"/>
          <w:iCs/>
          <w:sz w:val="24"/>
          <w:szCs w:val="24"/>
        </w:rPr>
      </w:pPr>
      <w:r w:rsidRPr="00E46D7A">
        <w:rPr>
          <w:rFonts w:cstheme="minorHAnsi"/>
          <w:iCs/>
          <w:sz w:val="28"/>
          <w:szCs w:val="28"/>
        </w:rPr>
        <w:t xml:space="preserve">This study has many limitations, including significant heterogeneity in the original trials, small numbers and few controls. Nevertheless, siRNA appears to have </w:t>
      </w:r>
      <w:proofErr w:type="gramStart"/>
      <w:r w:rsidRPr="00E46D7A">
        <w:rPr>
          <w:rFonts w:cstheme="minorHAnsi"/>
          <w:iCs/>
          <w:sz w:val="28"/>
          <w:szCs w:val="28"/>
        </w:rPr>
        <w:t>promise</w:t>
      </w:r>
      <w:proofErr w:type="gramEnd"/>
      <w:r w:rsidRPr="00E46D7A">
        <w:rPr>
          <w:rFonts w:cstheme="minorHAnsi"/>
          <w:iCs/>
          <w:sz w:val="28"/>
          <w:szCs w:val="28"/>
        </w:rPr>
        <w:t xml:space="preserve"> and further work is needed to understand their long-term mechanism of action as well as explore optimal dosing regimens</w:t>
      </w:r>
    </w:p>
    <w:sectPr w:rsidR="00C8554A" w:rsidRPr="00E46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153B0"/>
    <w:rsid w:val="000431EB"/>
    <w:rsid w:val="00093C9A"/>
    <w:rsid w:val="001516B4"/>
    <w:rsid w:val="00163271"/>
    <w:rsid w:val="0019001B"/>
    <w:rsid w:val="00276C84"/>
    <w:rsid w:val="00317CD9"/>
    <w:rsid w:val="003960AF"/>
    <w:rsid w:val="004B4D31"/>
    <w:rsid w:val="005E2702"/>
    <w:rsid w:val="006360D2"/>
    <w:rsid w:val="00665E23"/>
    <w:rsid w:val="007860FE"/>
    <w:rsid w:val="007B2395"/>
    <w:rsid w:val="00835646"/>
    <w:rsid w:val="008743EE"/>
    <w:rsid w:val="00982135"/>
    <w:rsid w:val="00996C64"/>
    <w:rsid w:val="00BD133C"/>
    <w:rsid w:val="00BE5DFA"/>
    <w:rsid w:val="00C8554A"/>
    <w:rsid w:val="00D20090"/>
    <w:rsid w:val="00E45986"/>
    <w:rsid w:val="00E46D7A"/>
    <w:rsid w:val="00E833DF"/>
    <w:rsid w:val="00EB4F0B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284</Words>
  <Characters>1557</Characters>
  <Application>Microsoft Office Word</Application>
  <DocSecurity>0</DocSecurity>
  <Lines>29</Lines>
  <Paragraphs>7</Paragraphs>
  <ScaleCrop>false</ScaleCrop>
  <Company/>
  <LinksUpToDate>false</LinksUpToDate>
  <CharactersWithSpaces>1834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2025-04-07T08:17:00Z</dcterms:created>
  <dcterms:modified xsi:type="dcterms:W3CDTF">2025-04-07T08:17:00Z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3cd44c8d0ad1f7474cda6eda92414b0df88d26d8993e81e79f5bbad13d153e8b</vt:lpwstr>
  </property>
</Properties>
</file>