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E5F88" w14:textId="741E1719" w:rsidR="008743EE" w:rsidRDefault="004B4D31">
      <w:r>
        <w:rPr>
          <w:rFonts w:ascii="Segoe UI" w:hAnsi="Segoe UI" w:cs="Segoe UI"/>
          <w:b/>
          <w:bCs/>
          <w:noProof/>
          <w:color w:val="212529"/>
        </w:rPr>
        <w:drawing>
          <wp:anchor distT="0" distB="0" distL="114300" distR="114300" simplePos="0" relativeHeight="251659264" behindDoc="0" locked="0" layoutInCell="1" allowOverlap="1" wp14:anchorId="41690B00" wp14:editId="5E419A47">
            <wp:simplePos x="0" y="0"/>
            <wp:positionH relativeFrom="margin">
              <wp:align>center</wp:align>
            </wp:positionH>
            <wp:positionV relativeFrom="paragraph">
              <wp:posOffset>0</wp:posOffset>
            </wp:positionV>
            <wp:extent cx="2381250" cy="734695"/>
            <wp:effectExtent l="0" t="0" r="0" b="8255"/>
            <wp:wrapSquare wrapText="bothSides"/>
            <wp:docPr id="1" name="Picture 1" descr="A blue and black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and black logo&#10;&#10;Description automatically generated"/>
                    <pic:cNvPicPr/>
                  </pic:nvPicPr>
                  <pic:blipFill>
                    <a:blip r:embed="rId4" cstate="print">
                      <a:extLst>
                        <a:ext uri="{28A0092B-C50C-407E-A947-70E740481C1C}">
                          <a14:useLocalDpi xmlns:a14="http://schemas.microsoft.com/office/drawing/2010/main" val="0"/>
                        </a:ext>
                      </a:extLst>
                    </a:blip>
                    <a:stretch>
                      <a:fillRect/>
                    </a:stretch>
                  </pic:blipFill>
                  <pic:spPr>
                    <a:xfrm>
                      <a:off x="0" y="0"/>
                      <a:ext cx="2381250" cy="734695"/>
                    </a:xfrm>
                    <a:prstGeom prst="rect">
                      <a:avLst/>
                    </a:prstGeom>
                  </pic:spPr>
                </pic:pic>
              </a:graphicData>
            </a:graphic>
          </wp:anchor>
        </w:drawing>
      </w:r>
    </w:p>
    <w:p w14:paraId="3A3DB441" w14:textId="77777777" w:rsidR="00093C9A" w:rsidRDefault="00093C9A" w:rsidP="00093C9A">
      <w:pPr>
        <w:jc w:val="both"/>
        <w:rPr>
          <w:rFonts w:cstheme="minorHAnsi"/>
          <w:b/>
          <w:bCs/>
          <w:iCs/>
        </w:rPr>
      </w:pPr>
    </w:p>
    <w:p w14:paraId="4BE8D875" w14:textId="77777777" w:rsidR="00276C84" w:rsidRDefault="00276C84" w:rsidP="00276C84">
      <w:pPr>
        <w:jc w:val="both"/>
        <w:rPr>
          <w:rFonts w:cstheme="minorHAnsi"/>
          <w:b/>
          <w:bCs/>
          <w:iCs/>
          <w:sz w:val="28"/>
          <w:szCs w:val="28"/>
          <w:u w:val="single"/>
        </w:rPr>
      </w:pPr>
    </w:p>
    <w:p w14:paraId="607E1B76" w14:textId="5D42CEA0" w:rsidR="009F120A" w:rsidRPr="009F120A" w:rsidRDefault="009F120A" w:rsidP="009F120A">
      <w:pPr>
        <w:jc w:val="both"/>
        <w:rPr>
          <w:rFonts w:cstheme="minorHAnsi"/>
          <w:b/>
          <w:bCs/>
          <w:iCs/>
          <w:sz w:val="28"/>
          <w:szCs w:val="28"/>
          <w:u w:val="single"/>
        </w:rPr>
      </w:pPr>
      <w:r w:rsidRPr="009F120A">
        <w:rPr>
          <w:rFonts w:cstheme="minorHAnsi"/>
          <w:b/>
          <w:bCs/>
          <w:iCs/>
          <w:sz w:val="28"/>
          <w:szCs w:val="28"/>
          <w:u w:val="single"/>
        </w:rPr>
        <w:t>CAF-macrophage crosstalk in tumour microenvironments governs the response to immune checkpoint blockade in gastric cancer peritoneal metastases</w:t>
      </w:r>
    </w:p>
    <w:p w14:paraId="60F061BF" w14:textId="2C659ACB" w:rsidR="009F120A" w:rsidRPr="009F120A" w:rsidRDefault="009F120A" w:rsidP="009F120A">
      <w:pPr>
        <w:jc w:val="both"/>
        <w:rPr>
          <w:rFonts w:cstheme="minorHAnsi"/>
          <w:i/>
          <w:sz w:val="28"/>
          <w:szCs w:val="28"/>
        </w:rPr>
      </w:pPr>
      <w:r w:rsidRPr="009F120A">
        <w:rPr>
          <w:rFonts w:cstheme="minorHAnsi"/>
          <w:i/>
          <w:sz w:val="28"/>
          <w:szCs w:val="28"/>
        </w:rPr>
        <w:t>Li</w:t>
      </w:r>
      <w:r w:rsidRPr="002D15FF">
        <w:rPr>
          <w:rFonts w:cstheme="minorHAnsi"/>
          <w:i/>
          <w:sz w:val="28"/>
          <w:szCs w:val="28"/>
        </w:rPr>
        <w:t xml:space="preserve"> </w:t>
      </w:r>
      <w:r w:rsidRPr="009F120A">
        <w:rPr>
          <w:rFonts w:cstheme="minorHAnsi"/>
          <w:i/>
          <w:sz w:val="28"/>
          <w:szCs w:val="28"/>
        </w:rPr>
        <w:t xml:space="preserve">Y, Zheng Y, Huang J, et al. CAF-macrophage crosstalk in tumour microenvironments governs the response to immune checkpoint blockade in gastric cancer peritoneal metastases. Gut 2025; 74(3):350-363. </w:t>
      </w:r>
      <w:proofErr w:type="spellStart"/>
      <w:r w:rsidRPr="009F120A">
        <w:rPr>
          <w:rFonts w:cstheme="minorHAnsi"/>
          <w:i/>
          <w:sz w:val="28"/>
          <w:szCs w:val="28"/>
        </w:rPr>
        <w:t>doi</w:t>
      </w:r>
      <w:proofErr w:type="spellEnd"/>
      <w:r w:rsidRPr="009F120A">
        <w:rPr>
          <w:rFonts w:cstheme="minorHAnsi"/>
          <w:i/>
          <w:sz w:val="28"/>
          <w:szCs w:val="28"/>
        </w:rPr>
        <w:t>: 10.1136/gutjnl-2024-333617.</w:t>
      </w:r>
    </w:p>
    <w:p w14:paraId="00E2BB1A" w14:textId="77777777" w:rsidR="009F120A" w:rsidRPr="009F120A" w:rsidRDefault="009F120A" w:rsidP="009F120A">
      <w:pPr>
        <w:jc w:val="both"/>
        <w:rPr>
          <w:rFonts w:cstheme="minorHAnsi"/>
          <w:b/>
          <w:bCs/>
          <w:iCs/>
          <w:sz w:val="28"/>
          <w:szCs w:val="28"/>
          <w:u w:val="single"/>
        </w:rPr>
      </w:pPr>
    </w:p>
    <w:p w14:paraId="7F85554E" w14:textId="134BEC3F" w:rsidR="009F120A" w:rsidRPr="009F120A" w:rsidRDefault="009F120A" w:rsidP="009F120A">
      <w:pPr>
        <w:jc w:val="both"/>
        <w:rPr>
          <w:rFonts w:cstheme="minorHAnsi"/>
          <w:iCs/>
          <w:sz w:val="28"/>
          <w:szCs w:val="28"/>
        </w:rPr>
      </w:pPr>
      <w:r w:rsidRPr="009F120A">
        <w:rPr>
          <w:rFonts w:cstheme="minorHAnsi"/>
          <w:iCs/>
          <w:sz w:val="28"/>
          <w:szCs w:val="28"/>
        </w:rPr>
        <w:t xml:space="preserve">Gastric cancer peritoneal metastases (GCPM) are notoriously difficult to treat, with poor long-term survival and have a grave impact on the </w:t>
      </w:r>
      <w:proofErr w:type="gramStart"/>
      <w:r w:rsidRPr="009F120A">
        <w:rPr>
          <w:rFonts w:cstheme="minorHAnsi"/>
          <w:iCs/>
          <w:sz w:val="28"/>
          <w:szCs w:val="28"/>
        </w:rPr>
        <w:t>patients</w:t>
      </w:r>
      <w:proofErr w:type="gramEnd"/>
      <w:r w:rsidRPr="009F120A">
        <w:rPr>
          <w:rFonts w:cstheme="minorHAnsi"/>
          <w:iCs/>
          <w:sz w:val="28"/>
          <w:szCs w:val="28"/>
        </w:rPr>
        <w:t xml:space="preserve"> quality of life. Although immune checkpoint blockade (ICB) therapies have recently shown promise, identifying which patients benefit most and overcoming resistance remain key challenges. This study sought to characterise the GCPM tumour microenvironment (TME) at single-cell resolution, revealing mechanisms of ICB response and resistance.</w:t>
      </w:r>
    </w:p>
    <w:p w14:paraId="158C554C" w14:textId="3D8350E6" w:rsidR="009F120A" w:rsidRPr="009F120A" w:rsidRDefault="009F120A" w:rsidP="009F120A">
      <w:pPr>
        <w:jc w:val="both"/>
        <w:rPr>
          <w:rFonts w:cstheme="minorHAnsi"/>
          <w:iCs/>
          <w:sz w:val="28"/>
          <w:szCs w:val="28"/>
        </w:rPr>
      </w:pPr>
      <w:r w:rsidRPr="009F120A">
        <w:rPr>
          <w:rFonts w:cstheme="minorHAnsi"/>
          <w:iCs/>
          <w:sz w:val="28"/>
          <w:szCs w:val="28"/>
        </w:rPr>
        <w:t xml:space="preserve">Li et al., conducted a phase II trial where patients with GCPM received </w:t>
      </w:r>
      <w:proofErr w:type="spellStart"/>
      <w:r w:rsidRPr="009F120A">
        <w:rPr>
          <w:rFonts w:cstheme="minorHAnsi"/>
          <w:iCs/>
          <w:sz w:val="28"/>
          <w:szCs w:val="28"/>
        </w:rPr>
        <w:t>Sintilimab</w:t>
      </w:r>
      <w:proofErr w:type="spellEnd"/>
      <w:r w:rsidRPr="009F120A">
        <w:rPr>
          <w:rFonts w:cstheme="minorHAnsi"/>
          <w:iCs/>
          <w:sz w:val="28"/>
          <w:szCs w:val="28"/>
        </w:rPr>
        <w:t xml:space="preserve"> (an ICB therapy) alongside chemotherapy. Samples from primary tumours, metastatic lesions and peripheral blood underwent single-cell RNA sequencing. This approach provided a high-resolution map of the TME, enabling the identification of key cellular interactions that either support or hinder immunotherapy effectiveness.</w:t>
      </w:r>
    </w:p>
    <w:p w14:paraId="7A1873E8" w14:textId="69116B33" w:rsidR="009F120A" w:rsidRPr="009F120A" w:rsidRDefault="009F120A" w:rsidP="009F120A">
      <w:pPr>
        <w:jc w:val="both"/>
        <w:rPr>
          <w:rFonts w:cstheme="minorHAnsi"/>
          <w:iCs/>
          <w:sz w:val="28"/>
          <w:szCs w:val="28"/>
        </w:rPr>
      </w:pPr>
      <w:r w:rsidRPr="009F120A">
        <w:rPr>
          <w:rFonts w:cstheme="minorHAnsi"/>
          <w:iCs/>
          <w:sz w:val="28"/>
          <w:szCs w:val="28"/>
        </w:rPr>
        <w:t xml:space="preserve">Analyses revealed a distinctive TME in GCPM, dominated by immunosuppressive macrophages (SPP1 (Secreted Phosphoprotein </w:t>
      </w:r>
      <w:proofErr w:type="gramStart"/>
      <w:r w:rsidRPr="009F120A">
        <w:rPr>
          <w:rFonts w:cstheme="minorHAnsi"/>
          <w:iCs/>
          <w:sz w:val="28"/>
          <w:szCs w:val="28"/>
        </w:rPr>
        <w:t>1)+</w:t>
      </w:r>
      <w:proofErr w:type="gramEnd"/>
      <w:r w:rsidRPr="009F120A">
        <w:rPr>
          <w:rFonts w:cstheme="minorHAnsi"/>
          <w:iCs/>
          <w:sz w:val="28"/>
          <w:szCs w:val="28"/>
        </w:rPr>
        <w:t xml:space="preserve"> tumour-associated macrophages) and specialised fibroblasts (THBS2 (Platelet-derived protein thrombospondin-2)+ matrix cancer-associated fibroblasts). These two cell populations interact via a complement pathway (C3 (complement 3)–C3AR1 (complement component 3a receptor 1)) that fosters tumour growth and dampens the immune response. Blocking this pathway in preclinical models reduced the recruitment of immunosuppressive macrophages and enhanced ICB efficacy. Additionally, a subset of natural killer T cells (NKT) (KLRD1 (Killer Cell </w:t>
      </w:r>
      <w:r w:rsidRPr="009F120A">
        <w:rPr>
          <w:rFonts w:cstheme="minorHAnsi"/>
          <w:iCs/>
          <w:sz w:val="28"/>
          <w:szCs w:val="28"/>
        </w:rPr>
        <w:lastRenderedPageBreak/>
        <w:t>Lectin Like Receptor D</w:t>
      </w:r>
      <w:proofErr w:type="gramStart"/>
      <w:r w:rsidRPr="009F120A">
        <w:rPr>
          <w:rFonts w:cstheme="minorHAnsi"/>
          <w:iCs/>
          <w:sz w:val="28"/>
          <w:szCs w:val="28"/>
        </w:rPr>
        <w:t>1)+</w:t>
      </w:r>
      <w:proofErr w:type="gramEnd"/>
      <w:r w:rsidRPr="009F120A">
        <w:rPr>
          <w:rFonts w:cstheme="minorHAnsi"/>
          <w:iCs/>
          <w:sz w:val="28"/>
          <w:szCs w:val="28"/>
        </w:rPr>
        <w:t xml:space="preserve"> NKT) expanded in patients who responded to treatment, highlighting their potential role in effective tumour clearance.</w:t>
      </w:r>
    </w:p>
    <w:p w14:paraId="1723899D" w14:textId="77777777" w:rsidR="009F120A" w:rsidRPr="009F120A" w:rsidRDefault="009F120A" w:rsidP="009F120A">
      <w:pPr>
        <w:jc w:val="both"/>
        <w:rPr>
          <w:rFonts w:cstheme="minorHAnsi"/>
          <w:iCs/>
          <w:sz w:val="28"/>
          <w:szCs w:val="28"/>
        </w:rPr>
      </w:pPr>
      <w:r w:rsidRPr="009F120A">
        <w:rPr>
          <w:rFonts w:cstheme="minorHAnsi"/>
          <w:iCs/>
          <w:sz w:val="28"/>
          <w:szCs w:val="28"/>
        </w:rPr>
        <w:t xml:space="preserve">A high-resolution single-cell analysis demonstrated that a stroma-myeloid niche—driven by THBS2+ </w:t>
      </w:r>
      <w:proofErr w:type="spellStart"/>
      <w:r w:rsidRPr="009F120A">
        <w:rPr>
          <w:rFonts w:cstheme="minorHAnsi"/>
          <w:iCs/>
          <w:sz w:val="28"/>
          <w:szCs w:val="28"/>
        </w:rPr>
        <w:t>mCAFs</w:t>
      </w:r>
      <w:proofErr w:type="spellEnd"/>
      <w:r w:rsidRPr="009F120A">
        <w:rPr>
          <w:rFonts w:cstheme="minorHAnsi"/>
          <w:iCs/>
          <w:sz w:val="28"/>
          <w:szCs w:val="28"/>
        </w:rPr>
        <w:t xml:space="preserve"> (matrix cancer-associated fibroblasts) and SPP1+ TAMs—is a central source of ICB resistance in GCPM. Targeting the complement C3-C3AR1 pathway to disrupt these pro-tumour interactions in vivo seems to significantly enhance immunotherapy outcomes. These findings provide new insights into the specialised TME underlying the immunotherapy resistance of GCPM and practical targets for drug discovery to potentiate ICB therapy.</w:t>
      </w:r>
    </w:p>
    <w:p w14:paraId="359AD71F" w14:textId="4E870174" w:rsidR="00C8554A" w:rsidRPr="00E46D7A" w:rsidRDefault="00C8554A" w:rsidP="009F120A">
      <w:pPr>
        <w:jc w:val="both"/>
        <w:rPr>
          <w:rFonts w:cstheme="minorHAnsi"/>
          <w:iCs/>
          <w:sz w:val="24"/>
          <w:szCs w:val="24"/>
        </w:rPr>
      </w:pPr>
    </w:p>
    <w:sectPr w:rsidR="00C8554A" w:rsidRPr="00E46D7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D31"/>
    <w:rsid w:val="000153B0"/>
    <w:rsid w:val="000431EB"/>
    <w:rsid w:val="00093C9A"/>
    <w:rsid w:val="001516B4"/>
    <w:rsid w:val="00163271"/>
    <w:rsid w:val="0019001B"/>
    <w:rsid w:val="00276C84"/>
    <w:rsid w:val="002D15FF"/>
    <w:rsid w:val="00317CD9"/>
    <w:rsid w:val="003960AF"/>
    <w:rsid w:val="003F3DE4"/>
    <w:rsid w:val="004B4D31"/>
    <w:rsid w:val="005E2702"/>
    <w:rsid w:val="006360D2"/>
    <w:rsid w:val="00665E23"/>
    <w:rsid w:val="007860FE"/>
    <w:rsid w:val="007B2395"/>
    <w:rsid w:val="00835646"/>
    <w:rsid w:val="008743EE"/>
    <w:rsid w:val="00982135"/>
    <w:rsid w:val="00996C64"/>
    <w:rsid w:val="009F120A"/>
    <w:rsid w:val="00BD133C"/>
    <w:rsid w:val="00BE5DFA"/>
    <w:rsid w:val="00C8554A"/>
    <w:rsid w:val="00CE07EA"/>
    <w:rsid w:val="00D20090"/>
    <w:rsid w:val="00E45986"/>
    <w:rsid w:val="00E46D7A"/>
    <w:rsid w:val="00E833DF"/>
    <w:rsid w:val="00EB4F0B"/>
    <w:rsid w:val="00F84D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A7AB886"/>
  <w15:chartTrackingRefBased/>
  <w15:docId w15:val="{F0FF924E-03CB-4C4C-B62B-97248ECAD4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265181">
      <w:bodyDiv w:val="1"/>
      <w:marLeft w:val="0"/>
      <w:marRight w:val="0"/>
      <w:marTop w:val="0"/>
      <w:marBottom w:val="0"/>
      <w:divBdr>
        <w:top w:val="none" w:sz="0" w:space="0" w:color="auto"/>
        <w:left w:val="none" w:sz="0" w:space="0" w:color="auto"/>
        <w:bottom w:val="none" w:sz="0" w:space="0" w:color="auto"/>
        <w:right w:val="none" w:sz="0" w:space="0" w:color="auto"/>
      </w:divBdr>
    </w:div>
    <w:div w:id="65685361">
      <w:bodyDiv w:val="1"/>
      <w:marLeft w:val="0"/>
      <w:marRight w:val="0"/>
      <w:marTop w:val="0"/>
      <w:marBottom w:val="0"/>
      <w:divBdr>
        <w:top w:val="none" w:sz="0" w:space="0" w:color="auto"/>
        <w:left w:val="none" w:sz="0" w:space="0" w:color="auto"/>
        <w:bottom w:val="none" w:sz="0" w:space="0" w:color="auto"/>
        <w:right w:val="none" w:sz="0" w:space="0" w:color="auto"/>
      </w:divBdr>
    </w:div>
    <w:div w:id="178085829">
      <w:bodyDiv w:val="1"/>
      <w:marLeft w:val="0"/>
      <w:marRight w:val="0"/>
      <w:marTop w:val="0"/>
      <w:marBottom w:val="0"/>
      <w:divBdr>
        <w:top w:val="none" w:sz="0" w:space="0" w:color="auto"/>
        <w:left w:val="none" w:sz="0" w:space="0" w:color="auto"/>
        <w:bottom w:val="none" w:sz="0" w:space="0" w:color="auto"/>
        <w:right w:val="none" w:sz="0" w:space="0" w:color="auto"/>
      </w:divBdr>
    </w:div>
    <w:div w:id="242299370">
      <w:bodyDiv w:val="1"/>
      <w:marLeft w:val="0"/>
      <w:marRight w:val="0"/>
      <w:marTop w:val="0"/>
      <w:marBottom w:val="0"/>
      <w:divBdr>
        <w:top w:val="none" w:sz="0" w:space="0" w:color="auto"/>
        <w:left w:val="none" w:sz="0" w:space="0" w:color="auto"/>
        <w:bottom w:val="none" w:sz="0" w:space="0" w:color="auto"/>
        <w:right w:val="none" w:sz="0" w:space="0" w:color="auto"/>
      </w:divBdr>
    </w:div>
    <w:div w:id="275530982">
      <w:bodyDiv w:val="1"/>
      <w:marLeft w:val="0"/>
      <w:marRight w:val="0"/>
      <w:marTop w:val="0"/>
      <w:marBottom w:val="0"/>
      <w:divBdr>
        <w:top w:val="none" w:sz="0" w:space="0" w:color="auto"/>
        <w:left w:val="none" w:sz="0" w:space="0" w:color="auto"/>
        <w:bottom w:val="none" w:sz="0" w:space="0" w:color="auto"/>
        <w:right w:val="none" w:sz="0" w:space="0" w:color="auto"/>
      </w:divBdr>
    </w:div>
    <w:div w:id="373774914">
      <w:bodyDiv w:val="1"/>
      <w:marLeft w:val="0"/>
      <w:marRight w:val="0"/>
      <w:marTop w:val="0"/>
      <w:marBottom w:val="0"/>
      <w:divBdr>
        <w:top w:val="none" w:sz="0" w:space="0" w:color="auto"/>
        <w:left w:val="none" w:sz="0" w:space="0" w:color="auto"/>
        <w:bottom w:val="none" w:sz="0" w:space="0" w:color="auto"/>
        <w:right w:val="none" w:sz="0" w:space="0" w:color="auto"/>
      </w:divBdr>
    </w:div>
    <w:div w:id="563490735">
      <w:bodyDiv w:val="1"/>
      <w:marLeft w:val="0"/>
      <w:marRight w:val="0"/>
      <w:marTop w:val="0"/>
      <w:marBottom w:val="0"/>
      <w:divBdr>
        <w:top w:val="none" w:sz="0" w:space="0" w:color="auto"/>
        <w:left w:val="none" w:sz="0" w:space="0" w:color="auto"/>
        <w:bottom w:val="none" w:sz="0" w:space="0" w:color="auto"/>
        <w:right w:val="none" w:sz="0" w:space="0" w:color="auto"/>
      </w:divBdr>
    </w:div>
    <w:div w:id="812134772">
      <w:bodyDiv w:val="1"/>
      <w:marLeft w:val="0"/>
      <w:marRight w:val="0"/>
      <w:marTop w:val="0"/>
      <w:marBottom w:val="0"/>
      <w:divBdr>
        <w:top w:val="none" w:sz="0" w:space="0" w:color="auto"/>
        <w:left w:val="none" w:sz="0" w:space="0" w:color="auto"/>
        <w:bottom w:val="none" w:sz="0" w:space="0" w:color="auto"/>
        <w:right w:val="none" w:sz="0" w:space="0" w:color="auto"/>
      </w:divBdr>
    </w:div>
    <w:div w:id="1019047357">
      <w:bodyDiv w:val="1"/>
      <w:marLeft w:val="0"/>
      <w:marRight w:val="0"/>
      <w:marTop w:val="0"/>
      <w:marBottom w:val="0"/>
      <w:divBdr>
        <w:top w:val="none" w:sz="0" w:space="0" w:color="auto"/>
        <w:left w:val="none" w:sz="0" w:space="0" w:color="auto"/>
        <w:bottom w:val="none" w:sz="0" w:space="0" w:color="auto"/>
        <w:right w:val="none" w:sz="0" w:space="0" w:color="auto"/>
      </w:divBdr>
    </w:div>
    <w:div w:id="1104228861">
      <w:bodyDiv w:val="1"/>
      <w:marLeft w:val="0"/>
      <w:marRight w:val="0"/>
      <w:marTop w:val="0"/>
      <w:marBottom w:val="0"/>
      <w:divBdr>
        <w:top w:val="none" w:sz="0" w:space="0" w:color="auto"/>
        <w:left w:val="none" w:sz="0" w:space="0" w:color="auto"/>
        <w:bottom w:val="none" w:sz="0" w:space="0" w:color="auto"/>
        <w:right w:val="none" w:sz="0" w:space="0" w:color="auto"/>
      </w:divBdr>
    </w:div>
    <w:div w:id="1289314456">
      <w:bodyDiv w:val="1"/>
      <w:marLeft w:val="0"/>
      <w:marRight w:val="0"/>
      <w:marTop w:val="0"/>
      <w:marBottom w:val="0"/>
      <w:divBdr>
        <w:top w:val="none" w:sz="0" w:space="0" w:color="auto"/>
        <w:left w:val="none" w:sz="0" w:space="0" w:color="auto"/>
        <w:bottom w:val="none" w:sz="0" w:space="0" w:color="auto"/>
        <w:right w:val="none" w:sz="0" w:space="0" w:color="auto"/>
      </w:divBdr>
    </w:div>
    <w:div w:id="1573614700">
      <w:bodyDiv w:val="1"/>
      <w:marLeft w:val="0"/>
      <w:marRight w:val="0"/>
      <w:marTop w:val="0"/>
      <w:marBottom w:val="0"/>
      <w:divBdr>
        <w:top w:val="none" w:sz="0" w:space="0" w:color="auto"/>
        <w:left w:val="none" w:sz="0" w:space="0" w:color="auto"/>
        <w:bottom w:val="none" w:sz="0" w:space="0" w:color="auto"/>
        <w:right w:val="none" w:sz="0" w:space="0" w:color="auto"/>
      </w:divBdr>
    </w:div>
    <w:div w:id="1583029329">
      <w:bodyDiv w:val="1"/>
      <w:marLeft w:val="0"/>
      <w:marRight w:val="0"/>
      <w:marTop w:val="0"/>
      <w:marBottom w:val="0"/>
      <w:divBdr>
        <w:top w:val="none" w:sz="0" w:space="0" w:color="auto"/>
        <w:left w:val="none" w:sz="0" w:space="0" w:color="auto"/>
        <w:bottom w:val="none" w:sz="0" w:space="0" w:color="auto"/>
        <w:right w:val="none" w:sz="0" w:space="0" w:color="auto"/>
      </w:divBdr>
    </w:div>
    <w:div w:id="1643852700">
      <w:bodyDiv w:val="1"/>
      <w:marLeft w:val="0"/>
      <w:marRight w:val="0"/>
      <w:marTop w:val="0"/>
      <w:marBottom w:val="0"/>
      <w:divBdr>
        <w:top w:val="none" w:sz="0" w:space="0" w:color="auto"/>
        <w:left w:val="none" w:sz="0" w:space="0" w:color="auto"/>
        <w:bottom w:val="none" w:sz="0" w:space="0" w:color="auto"/>
        <w:right w:val="none" w:sz="0" w:space="0" w:color="auto"/>
      </w:divBdr>
    </w:div>
    <w:div w:id="1706248497">
      <w:bodyDiv w:val="1"/>
      <w:marLeft w:val="0"/>
      <w:marRight w:val="0"/>
      <w:marTop w:val="0"/>
      <w:marBottom w:val="0"/>
      <w:divBdr>
        <w:top w:val="none" w:sz="0" w:space="0" w:color="auto"/>
        <w:left w:val="none" w:sz="0" w:space="0" w:color="auto"/>
        <w:bottom w:val="none" w:sz="0" w:space="0" w:color="auto"/>
        <w:right w:val="none" w:sz="0" w:space="0" w:color="auto"/>
      </w:divBdr>
    </w:div>
    <w:div w:id="1825781359">
      <w:bodyDiv w:val="1"/>
      <w:marLeft w:val="0"/>
      <w:marRight w:val="0"/>
      <w:marTop w:val="0"/>
      <w:marBottom w:val="0"/>
      <w:divBdr>
        <w:top w:val="none" w:sz="0" w:space="0" w:color="auto"/>
        <w:left w:val="none" w:sz="0" w:space="0" w:color="auto"/>
        <w:bottom w:val="none" w:sz="0" w:space="0" w:color="auto"/>
        <w:right w:val="none" w:sz="0" w:space="0" w:color="auto"/>
      </w:divBdr>
    </w:div>
    <w:div w:id="1852179598">
      <w:bodyDiv w:val="1"/>
      <w:marLeft w:val="0"/>
      <w:marRight w:val="0"/>
      <w:marTop w:val="0"/>
      <w:marBottom w:val="0"/>
      <w:divBdr>
        <w:top w:val="none" w:sz="0" w:space="0" w:color="auto"/>
        <w:left w:val="none" w:sz="0" w:space="0" w:color="auto"/>
        <w:bottom w:val="none" w:sz="0" w:space="0" w:color="auto"/>
        <w:right w:val="none" w:sz="0" w:space="0" w:color="auto"/>
      </w:divBdr>
    </w:div>
    <w:div w:id="1861357478">
      <w:bodyDiv w:val="1"/>
      <w:marLeft w:val="0"/>
      <w:marRight w:val="0"/>
      <w:marTop w:val="0"/>
      <w:marBottom w:val="0"/>
      <w:divBdr>
        <w:top w:val="none" w:sz="0" w:space="0" w:color="auto"/>
        <w:left w:val="none" w:sz="0" w:space="0" w:color="auto"/>
        <w:bottom w:val="none" w:sz="0" w:space="0" w:color="auto"/>
        <w:right w:val="none" w:sz="0" w:space="0" w:color="auto"/>
      </w:divBdr>
    </w:div>
    <w:div w:id="1953509207">
      <w:bodyDiv w:val="1"/>
      <w:marLeft w:val="0"/>
      <w:marRight w:val="0"/>
      <w:marTop w:val="0"/>
      <w:marBottom w:val="0"/>
      <w:divBdr>
        <w:top w:val="none" w:sz="0" w:space="0" w:color="auto"/>
        <w:left w:val="none" w:sz="0" w:space="0" w:color="auto"/>
        <w:bottom w:val="none" w:sz="0" w:space="0" w:color="auto"/>
        <w:right w:val="none" w:sz="0" w:space="0" w:color="auto"/>
      </w:divBdr>
    </w:div>
    <w:div w:id="1953709513">
      <w:bodyDiv w:val="1"/>
      <w:marLeft w:val="0"/>
      <w:marRight w:val="0"/>
      <w:marTop w:val="0"/>
      <w:marBottom w:val="0"/>
      <w:divBdr>
        <w:top w:val="none" w:sz="0" w:space="0" w:color="auto"/>
        <w:left w:val="none" w:sz="0" w:space="0" w:color="auto"/>
        <w:bottom w:val="none" w:sz="0" w:space="0" w:color="auto"/>
        <w:right w:val="none" w:sz="0" w:space="0" w:color="auto"/>
      </w:divBdr>
    </w:div>
    <w:div w:id="1965312487">
      <w:bodyDiv w:val="1"/>
      <w:marLeft w:val="0"/>
      <w:marRight w:val="0"/>
      <w:marTop w:val="0"/>
      <w:marBottom w:val="0"/>
      <w:divBdr>
        <w:top w:val="none" w:sz="0" w:space="0" w:color="auto"/>
        <w:left w:val="none" w:sz="0" w:space="0" w:color="auto"/>
        <w:bottom w:val="none" w:sz="0" w:space="0" w:color="auto"/>
        <w:right w:val="none" w:sz="0" w:space="0" w:color="auto"/>
      </w:divBdr>
    </w:div>
    <w:div w:id="2003581502">
      <w:bodyDiv w:val="1"/>
      <w:marLeft w:val="0"/>
      <w:marRight w:val="0"/>
      <w:marTop w:val="0"/>
      <w:marBottom w:val="0"/>
      <w:divBdr>
        <w:top w:val="none" w:sz="0" w:space="0" w:color="auto"/>
        <w:left w:val="none" w:sz="0" w:space="0" w:color="auto"/>
        <w:bottom w:val="none" w:sz="0" w:space="0" w:color="auto"/>
        <w:right w:val="none" w:sz="0" w:space="0" w:color="auto"/>
      </w:divBdr>
    </w:div>
    <w:div w:id="2038969134">
      <w:bodyDiv w:val="1"/>
      <w:marLeft w:val="0"/>
      <w:marRight w:val="0"/>
      <w:marTop w:val="0"/>
      <w:marBottom w:val="0"/>
      <w:divBdr>
        <w:top w:val="none" w:sz="0" w:space="0" w:color="auto"/>
        <w:left w:val="none" w:sz="0" w:space="0" w:color="auto"/>
        <w:bottom w:val="none" w:sz="0" w:space="0" w:color="auto"/>
        <w:right w:val="none" w:sz="0" w:space="0" w:color="auto"/>
      </w:divBdr>
    </w:div>
    <w:div w:id="21187168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341</Words>
  <Characters>2269</Characters>
  <Application>Microsoft Office Word</Application>
  <DocSecurity>0</DocSecurity>
  <Lines>43</Lines>
  <Paragraphs>6</Paragraphs>
  <ScaleCrop>false</ScaleCrop>
  <Company/>
  <LinksUpToDate>false</LinksUpToDate>
  <CharactersWithSpaces>2604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Mollie Preston</dc:creator>
  <cp:keywords/>
  <dc:description/>
  <cp:lastModifiedBy>Mollie Preston</cp:lastModifiedBy>
  <cp:revision>3</cp:revision>
  <dcterms:created xsi:type="dcterms:W3CDTF">2025-04-07T08:27:00Z</dcterms:created>
  <dcterms:modified xsi:type="dcterms:W3CDTF">2025-04-07T08:28:00Z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3cd44c8d0ad1f7474cda6eda92414b0df88d26d8993e81e79f5bbad13d153e8b</vt:lpwstr>
  </property>
</Properties>
</file>