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3A6DE60E" w14:textId="6D7E76B9" w:rsidR="003960AF" w:rsidRPr="003960AF" w:rsidRDefault="003960AF" w:rsidP="003960AF">
      <w:pPr>
        <w:jc w:val="both"/>
        <w:rPr>
          <w:rFonts w:cstheme="minorHAnsi"/>
          <w:b/>
          <w:bCs/>
          <w:iCs/>
          <w:sz w:val="28"/>
          <w:szCs w:val="28"/>
          <w:u w:val="single"/>
          <w:lang w:val="en-AU"/>
        </w:rPr>
      </w:pPr>
      <w:r w:rsidRPr="003960AF">
        <w:rPr>
          <w:rFonts w:cstheme="minorHAnsi"/>
          <w:b/>
          <w:bCs/>
          <w:iCs/>
          <w:sz w:val="28"/>
          <w:szCs w:val="28"/>
          <w:u w:val="single"/>
          <w:lang w:val="en-AU"/>
        </w:rPr>
        <w:t>Evolution of the use, effectiveness and safety of bismuth-containing quadruple therapy for Helicobacter pylori infection between 2013 and 2021: results from the European registry on H. pylori management (Hp-</w:t>
      </w:r>
      <w:proofErr w:type="spellStart"/>
      <w:r w:rsidRPr="003960AF">
        <w:rPr>
          <w:rFonts w:cstheme="minorHAnsi"/>
          <w:b/>
          <w:bCs/>
          <w:iCs/>
          <w:sz w:val="28"/>
          <w:szCs w:val="28"/>
          <w:u w:val="single"/>
          <w:lang w:val="en-AU"/>
        </w:rPr>
        <w:t>EuReg</w:t>
      </w:r>
      <w:proofErr w:type="spellEnd"/>
      <w:r w:rsidRPr="003960AF">
        <w:rPr>
          <w:rFonts w:cstheme="minorHAnsi"/>
          <w:b/>
          <w:bCs/>
          <w:iCs/>
          <w:sz w:val="28"/>
          <w:szCs w:val="28"/>
          <w:u w:val="single"/>
          <w:lang w:val="en-AU"/>
        </w:rPr>
        <w:t>)</w:t>
      </w:r>
    </w:p>
    <w:p w14:paraId="251F8187" w14:textId="77777777" w:rsidR="003960AF" w:rsidRPr="003960AF" w:rsidRDefault="003960AF" w:rsidP="003960AF">
      <w:pPr>
        <w:jc w:val="both"/>
        <w:rPr>
          <w:rFonts w:cstheme="minorHAnsi"/>
          <w:iCs/>
          <w:sz w:val="28"/>
          <w:szCs w:val="28"/>
          <w:lang w:val="en-AU"/>
        </w:rPr>
      </w:pPr>
      <w:r w:rsidRPr="003960AF">
        <w:rPr>
          <w:rFonts w:cstheme="minorHAnsi"/>
          <w:iCs/>
          <w:sz w:val="28"/>
          <w:szCs w:val="28"/>
          <w:lang w:val="en-AU"/>
        </w:rPr>
        <w:t xml:space="preserve">Olmedo L, </w:t>
      </w:r>
      <w:proofErr w:type="spellStart"/>
      <w:r w:rsidRPr="003960AF">
        <w:rPr>
          <w:rFonts w:cstheme="minorHAnsi"/>
          <w:iCs/>
          <w:sz w:val="28"/>
          <w:szCs w:val="28"/>
          <w:lang w:val="en-AU"/>
        </w:rPr>
        <w:t>Calvet</w:t>
      </w:r>
      <w:proofErr w:type="spellEnd"/>
      <w:r w:rsidRPr="003960AF">
        <w:rPr>
          <w:rFonts w:cstheme="minorHAnsi"/>
          <w:iCs/>
          <w:sz w:val="28"/>
          <w:szCs w:val="28"/>
          <w:lang w:val="en-AU"/>
        </w:rPr>
        <w:t xml:space="preserve"> X, </w:t>
      </w:r>
      <w:proofErr w:type="spellStart"/>
      <w:r w:rsidRPr="003960AF">
        <w:rPr>
          <w:rFonts w:cstheme="minorHAnsi"/>
          <w:iCs/>
          <w:sz w:val="28"/>
          <w:szCs w:val="28"/>
          <w:lang w:val="en-AU"/>
        </w:rPr>
        <w:t>Gené</w:t>
      </w:r>
      <w:proofErr w:type="spellEnd"/>
      <w:r w:rsidRPr="003960AF">
        <w:rPr>
          <w:rFonts w:cstheme="minorHAnsi"/>
          <w:iCs/>
          <w:sz w:val="28"/>
          <w:szCs w:val="28"/>
          <w:lang w:val="en-AU"/>
        </w:rPr>
        <w:t xml:space="preserve"> E, </w:t>
      </w:r>
      <w:r w:rsidRPr="003960AF">
        <w:rPr>
          <w:rFonts w:cstheme="minorHAnsi"/>
          <w:i/>
          <w:iCs/>
          <w:sz w:val="28"/>
          <w:szCs w:val="28"/>
          <w:lang w:val="en-AU"/>
        </w:rPr>
        <w:t>et al.</w:t>
      </w:r>
      <w:r w:rsidRPr="003960AF">
        <w:rPr>
          <w:rFonts w:cstheme="minorHAnsi"/>
          <w:iCs/>
          <w:sz w:val="28"/>
          <w:szCs w:val="28"/>
          <w:lang w:val="en-AU"/>
        </w:rPr>
        <w:t xml:space="preserve"> Evolution of the use, effectiveness and safety of bismuth-containing quadruple therapy for Helicobacter pylori infection between 2013 and 2021: results from the European registry on H. pylori management (Hp-</w:t>
      </w:r>
      <w:proofErr w:type="spellStart"/>
      <w:r w:rsidRPr="003960AF">
        <w:rPr>
          <w:rFonts w:cstheme="minorHAnsi"/>
          <w:iCs/>
          <w:sz w:val="28"/>
          <w:szCs w:val="28"/>
          <w:lang w:val="en-AU"/>
        </w:rPr>
        <w:t>EuReg</w:t>
      </w:r>
      <w:proofErr w:type="spellEnd"/>
      <w:r w:rsidRPr="003960AF">
        <w:rPr>
          <w:rFonts w:cstheme="minorHAnsi"/>
          <w:iCs/>
          <w:sz w:val="28"/>
          <w:szCs w:val="28"/>
          <w:lang w:val="en-AU"/>
        </w:rPr>
        <w:t xml:space="preserve">). </w:t>
      </w:r>
      <w:r w:rsidRPr="003960AF">
        <w:rPr>
          <w:rFonts w:cstheme="minorHAnsi"/>
          <w:i/>
          <w:iCs/>
          <w:sz w:val="28"/>
          <w:szCs w:val="28"/>
          <w:lang w:val="en-AU"/>
        </w:rPr>
        <w:t xml:space="preserve">Gut </w:t>
      </w:r>
      <w:r w:rsidRPr="003960AF">
        <w:rPr>
          <w:rFonts w:cstheme="minorHAnsi"/>
          <w:iCs/>
          <w:sz w:val="28"/>
          <w:szCs w:val="28"/>
          <w:lang w:val="en-AU"/>
        </w:rPr>
        <w:t xml:space="preserve">2025; 74: 15-25. </w:t>
      </w:r>
      <w:proofErr w:type="spellStart"/>
      <w:r w:rsidRPr="003960AF">
        <w:rPr>
          <w:rFonts w:cstheme="minorHAnsi"/>
          <w:iCs/>
          <w:sz w:val="28"/>
          <w:szCs w:val="28"/>
          <w:lang w:val="en-AU"/>
        </w:rPr>
        <w:t>doi</w:t>
      </w:r>
      <w:proofErr w:type="spellEnd"/>
      <w:r w:rsidRPr="003960AF">
        <w:rPr>
          <w:rFonts w:cstheme="minorHAnsi"/>
          <w:iCs/>
          <w:sz w:val="28"/>
          <w:szCs w:val="28"/>
          <w:lang w:val="en-AU"/>
        </w:rPr>
        <w:t xml:space="preserve">: 10.1136/gutjnl-2024-332804. </w:t>
      </w:r>
    </w:p>
    <w:p w14:paraId="44B8D4BC" w14:textId="77777777" w:rsidR="003960AF" w:rsidRPr="003960AF" w:rsidRDefault="003960AF" w:rsidP="003960AF">
      <w:pPr>
        <w:jc w:val="both"/>
        <w:rPr>
          <w:rFonts w:cstheme="minorHAnsi"/>
          <w:iCs/>
          <w:sz w:val="28"/>
          <w:szCs w:val="28"/>
          <w:lang w:val="en-AU"/>
        </w:rPr>
      </w:pPr>
    </w:p>
    <w:p w14:paraId="01C60F16" w14:textId="77777777" w:rsidR="003960AF" w:rsidRPr="003960AF" w:rsidRDefault="003960AF" w:rsidP="003960AF">
      <w:pPr>
        <w:jc w:val="both"/>
        <w:rPr>
          <w:rFonts w:cstheme="minorHAnsi"/>
          <w:iCs/>
          <w:sz w:val="28"/>
          <w:szCs w:val="28"/>
          <w:lang w:val="en-AU"/>
        </w:rPr>
      </w:pPr>
      <w:r w:rsidRPr="003960AF">
        <w:rPr>
          <w:rFonts w:cstheme="minorHAnsi"/>
          <w:iCs/>
          <w:sz w:val="28"/>
          <w:szCs w:val="28"/>
          <w:lang w:val="en-AU"/>
        </w:rPr>
        <w:t>Helicobacter pylori (H. pylori) </w:t>
      </w:r>
      <w:proofErr w:type="gramStart"/>
      <w:r w:rsidRPr="003960AF">
        <w:rPr>
          <w:rFonts w:cstheme="minorHAnsi"/>
          <w:iCs/>
          <w:sz w:val="28"/>
          <w:szCs w:val="28"/>
          <w:lang w:val="en-AU"/>
        </w:rPr>
        <w:t>remains</w:t>
      </w:r>
      <w:proofErr w:type="gramEnd"/>
      <w:r w:rsidRPr="003960AF">
        <w:rPr>
          <w:rFonts w:cstheme="minorHAnsi"/>
          <w:iCs/>
          <w:sz w:val="28"/>
          <w:szCs w:val="28"/>
          <w:lang w:val="en-AU"/>
        </w:rPr>
        <w:t xml:space="preserve"> a significant cause of peptic ulcer disease and gastric cancer. Treating H. pylori has always been challenging, with emerging resistance to first-line drugs exacerbating the issue. Since the discovery of H. pylori by Warren and Marshall in 1982, the search for an ideal antibiotic regimen has been ongoing, yet breakthrough results remain elusive. The recent Maastricht guidelines recommend using quadruple bismuth-containing therapy as the first line in areas with high clarithromycin resistance.</w:t>
      </w:r>
    </w:p>
    <w:p w14:paraId="263D69DA" w14:textId="77777777" w:rsidR="003960AF" w:rsidRPr="003960AF" w:rsidRDefault="003960AF" w:rsidP="003960AF">
      <w:pPr>
        <w:jc w:val="both"/>
        <w:rPr>
          <w:rFonts w:cstheme="minorHAnsi"/>
          <w:iCs/>
          <w:sz w:val="28"/>
          <w:szCs w:val="28"/>
          <w:lang w:val="en-AU"/>
        </w:rPr>
      </w:pPr>
    </w:p>
    <w:p w14:paraId="1D12A625" w14:textId="77777777" w:rsidR="003960AF" w:rsidRPr="003960AF" w:rsidRDefault="003960AF" w:rsidP="003960AF">
      <w:pPr>
        <w:jc w:val="both"/>
        <w:rPr>
          <w:rFonts w:cstheme="minorHAnsi"/>
          <w:iCs/>
          <w:sz w:val="28"/>
          <w:szCs w:val="28"/>
          <w:lang w:val="en-AU"/>
        </w:rPr>
      </w:pPr>
      <w:r w:rsidRPr="003960AF">
        <w:rPr>
          <w:rFonts w:cstheme="minorHAnsi"/>
          <w:iCs/>
          <w:sz w:val="28"/>
          <w:szCs w:val="28"/>
          <w:lang w:val="en-AU"/>
        </w:rPr>
        <w:t>This multicentric study in Europe evaluated the safety, efficacy, and usage of bismuth-containing quadruple therapy for H. pylori infection. Approximately one-third of the 50,000-patient cohort received a bismuth-containing regimen. The single-capsule bismuth-containing quadruple treatment (</w:t>
      </w:r>
      <w:proofErr w:type="spellStart"/>
      <w:r w:rsidRPr="003960AF">
        <w:rPr>
          <w:rFonts w:cstheme="minorHAnsi"/>
          <w:iCs/>
          <w:sz w:val="28"/>
          <w:szCs w:val="28"/>
          <w:lang w:val="en-AU"/>
        </w:rPr>
        <w:t>ScBQT</w:t>
      </w:r>
      <w:proofErr w:type="spellEnd"/>
      <w:r w:rsidRPr="003960AF">
        <w:rPr>
          <w:rFonts w:cstheme="minorHAnsi"/>
          <w:iCs/>
          <w:sz w:val="28"/>
          <w:szCs w:val="28"/>
          <w:lang w:val="en-AU"/>
        </w:rPr>
        <w:t xml:space="preserve">) was the most frequently used, accounting for 43% of all bismuth treatments. Over the years, </w:t>
      </w:r>
      <w:proofErr w:type="spellStart"/>
      <w:r w:rsidRPr="003960AF">
        <w:rPr>
          <w:rFonts w:cstheme="minorHAnsi"/>
          <w:iCs/>
          <w:sz w:val="28"/>
          <w:szCs w:val="28"/>
          <w:lang w:val="en-AU"/>
        </w:rPr>
        <w:t>ScBQT</w:t>
      </w:r>
      <w:proofErr w:type="spellEnd"/>
      <w:r w:rsidRPr="003960AF">
        <w:rPr>
          <w:rFonts w:cstheme="minorHAnsi"/>
          <w:iCs/>
          <w:sz w:val="28"/>
          <w:szCs w:val="28"/>
          <w:lang w:val="en-AU"/>
        </w:rPr>
        <w:t xml:space="preserve"> has gained popularity compared to non-single-capsule bismuth quadruple therapy (</w:t>
      </w:r>
      <w:proofErr w:type="spellStart"/>
      <w:r w:rsidRPr="003960AF">
        <w:rPr>
          <w:rFonts w:cstheme="minorHAnsi"/>
          <w:iCs/>
          <w:sz w:val="28"/>
          <w:szCs w:val="28"/>
          <w:lang w:val="en-AU"/>
        </w:rPr>
        <w:t>NScBQT</w:t>
      </w:r>
      <w:proofErr w:type="spellEnd"/>
      <w:r w:rsidRPr="003960AF">
        <w:rPr>
          <w:rFonts w:cstheme="minorHAnsi"/>
          <w:iCs/>
          <w:sz w:val="28"/>
          <w:szCs w:val="28"/>
          <w:lang w:val="en-AU"/>
        </w:rPr>
        <w:t xml:space="preserve">). </w:t>
      </w:r>
      <w:proofErr w:type="spellStart"/>
      <w:r w:rsidRPr="003960AF">
        <w:rPr>
          <w:rFonts w:cstheme="minorHAnsi"/>
          <w:iCs/>
          <w:sz w:val="28"/>
          <w:szCs w:val="28"/>
          <w:lang w:val="en-AU"/>
        </w:rPr>
        <w:t>ScBQT</w:t>
      </w:r>
      <w:proofErr w:type="spellEnd"/>
      <w:r w:rsidRPr="003960AF">
        <w:rPr>
          <w:rFonts w:cstheme="minorHAnsi"/>
          <w:iCs/>
          <w:sz w:val="28"/>
          <w:szCs w:val="28"/>
          <w:lang w:val="en-AU"/>
        </w:rPr>
        <w:t xml:space="preserve"> achieved an overall efficacy of 93%, compared to 91% with PPI + CAB (clarithromycin, amoxicillin, bismuth) and PPI + MTB (metronidazole, tetracycline and bismuth). Another advantage of </w:t>
      </w:r>
      <w:proofErr w:type="spellStart"/>
      <w:r w:rsidRPr="003960AF">
        <w:rPr>
          <w:rFonts w:cstheme="minorHAnsi"/>
          <w:iCs/>
          <w:sz w:val="28"/>
          <w:szCs w:val="28"/>
          <w:lang w:val="en-AU"/>
        </w:rPr>
        <w:t>ScBQT</w:t>
      </w:r>
      <w:proofErr w:type="spellEnd"/>
      <w:r w:rsidRPr="003960AF">
        <w:rPr>
          <w:rFonts w:cstheme="minorHAnsi"/>
          <w:iCs/>
          <w:sz w:val="28"/>
          <w:szCs w:val="28"/>
          <w:lang w:val="en-AU"/>
        </w:rPr>
        <w:t xml:space="preserve"> was a shortened treatment duration of 10 days, compared to 14 days with PPI + CAB/MTB, while maintaining its efficacy.</w:t>
      </w:r>
    </w:p>
    <w:p w14:paraId="6F7C8AAB" w14:textId="77777777" w:rsidR="003960AF" w:rsidRPr="003960AF" w:rsidRDefault="003960AF" w:rsidP="003960AF">
      <w:pPr>
        <w:jc w:val="both"/>
        <w:rPr>
          <w:rFonts w:cstheme="minorHAnsi"/>
          <w:iCs/>
          <w:sz w:val="28"/>
          <w:szCs w:val="28"/>
          <w:lang w:val="en-AU"/>
        </w:rPr>
      </w:pPr>
    </w:p>
    <w:p w14:paraId="17E0A8ED" w14:textId="77777777" w:rsidR="003960AF" w:rsidRPr="003960AF" w:rsidRDefault="003960AF" w:rsidP="003960AF">
      <w:pPr>
        <w:jc w:val="both"/>
        <w:rPr>
          <w:rFonts w:cstheme="minorHAnsi"/>
          <w:iCs/>
          <w:sz w:val="28"/>
          <w:szCs w:val="28"/>
          <w:lang w:val="en-AU"/>
        </w:rPr>
      </w:pPr>
      <w:r w:rsidRPr="003960AF">
        <w:rPr>
          <w:rFonts w:cstheme="minorHAnsi"/>
          <w:iCs/>
          <w:sz w:val="28"/>
          <w:szCs w:val="28"/>
          <w:lang w:val="en-AU"/>
        </w:rPr>
        <w:t xml:space="preserve">Multivariate analysis showed that adherence to treatment, use of </w:t>
      </w:r>
      <w:proofErr w:type="spellStart"/>
      <w:r w:rsidRPr="003960AF">
        <w:rPr>
          <w:rFonts w:cstheme="minorHAnsi"/>
          <w:iCs/>
          <w:sz w:val="28"/>
          <w:szCs w:val="28"/>
          <w:lang w:val="en-AU"/>
        </w:rPr>
        <w:t>ScBQT</w:t>
      </w:r>
      <w:proofErr w:type="spellEnd"/>
      <w:r w:rsidRPr="003960AF">
        <w:rPr>
          <w:rFonts w:cstheme="minorHAnsi"/>
          <w:iCs/>
          <w:sz w:val="28"/>
          <w:szCs w:val="28"/>
          <w:lang w:val="en-AU"/>
        </w:rPr>
        <w:t xml:space="preserve">, 14-day prescriptions, and combining BQT with standard or high-dose PPIs were </w:t>
      </w:r>
      <w:r w:rsidRPr="003960AF">
        <w:rPr>
          <w:rFonts w:cstheme="minorHAnsi"/>
          <w:iCs/>
          <w:sz w:val="28"/>
          <w:szCs w:val="28"/>
          <w:lang w:val="en-AU"/>
        </w:rPr>
        <w:lastRenderedPageBreak/>
        <w:t>associated with higher efficacy. Conversely, using PPI + MDB (metronidazole, doxycycline, bismuth) and BQT as rescue treatments predicted poor efficacy.</w:t>
      </w:r>
    </w:p>
    <w:p w14:paraId="20BD47AB" w14:textId="77777777" w:rsidR="003960AF" w:rsidRPr="003960AF" w:rsidRDefault="003960AF" w:rsidP="003960AF">
      <w:pPr>
        <w:jc w:val="both"/>
        <w:rPr>
          <w:rFonts w:cstheme="minorHAnsi"/>
          <w:iCs/>
          <w:sz w:val="28"/>
          <w:szCs w:val="28"/>
          <w:lang w:val="en-AU"/>
        </w:rPr>
      </w:pPr>
    </w:p>
    <w:p w14:paraId="18732E1C" w14:textId="77777777" w:rsidR="003960AF" w:rsidRPr="003960AF" w:rsidRDefault="003960AF" w:rsidP="003960AF">
      <w:pPr>
        <w:jc w:val="both"/>
        <w:rPr>
          <w:rFonts w:cstheme="minorHAnsi"/>
          <w:iCs/>
          <w:sz w:val="28"/>
          <w:szCs w:val="28"/>
          <w:lang w:val="en-AU"/>
        </w:rPr>
      </w:pPr>
      <w:r w:rsidRPr="003960AF">
        <w:rPr>
          <w:rFonts w:cstheme="minorHAnsi"/>
          <w:iCs/>
          <w:sz w:val="28"/>
          <w:szCs w:val="28"/>
          <w:lang w:val="en-AU"/>
        </w:rPr>
        <w:t>This study demonstrates that all bismuth-containing regimens, particularly single-dose BQT, are associated with good outcomes in H. pylori infection.</w:t>
      </w:r>
    </w:p>
    <w:p w14:paraId="15BCAA7C" w14:textId="77777777" w:rsidR="003960AF" w:rsidRPr="003960AF" w:rsidRDefault="003960AF" w:rsidP="003960AF">
      <w:pPr>
        <w:jc w:val="both"/>
        <w:rPr>
          <w:rFonts w:cstheme="minorHAnsi"/>
          <w:iCs/>
          <w:sz w:val="28"/>
          <w:szCs w:val="28"/>
        </w:rPr>
      </w:pPr>
    </w:p>
    <w:p w14:paraId="741BBA27" w14:textId="77777777" w:rsidR="00BD133C" w:rsidRPr="00E833DF" w:rsidRDefault="00BD133C" w:rsidP="00BD133C">
      <w:pPr>
        <w:jc w:val="both"/>
        <w:rPr>
          <w:rFonts w:cstheme="minorHAnsi"/>
          <w:iCs/>
          <w:sz w:val="28"/>
          <w:szCs w:val="28"/>
        </w:rPr>
      </w:pPr>
    </w:p>
    <w:p w14:paraId="359AD71F" w14:textId="37BFE26D" w:rsidR="00C8554A" w:rsidRPr="00E833DF" w:rsidRDefault="00C8554A" w:rsidP="000153B0">
      <w:pPr>
        <w:jc w:val="both"/>
        <w:rPr>
          <w:rFonts w:cstheme="minorHAnsi"/>
          <w:iCs/>
          <w:sz w:val="24"/>
          <w:szCs w:val="24"/>
        </w:rPr>
      </w:pPr>
    </w:p>
    <w:sectPr w:rsidR="00C8554A" w:rsidRPr="00E83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431EB"/>
    <w:rsid w:val="00093C9A"/>
    <w:rsid w:val="00163271"/>
    <w:rsid w:val="0019001B"/>
    <w:rsid w:val="00317CD9"/>
    <w:rsid w:val="003960AF"/>
    <w:rsid w:val="004B4D31"/>
    <w:rsid w:val="005E2702"/>
    <w:rsid w:val="006360D2"/>
    <w:rsid w:val="00665E23"/>
    <w:rsid w:val="007860FE"/>
    <w:rsid w:val="007B2395"/>
    <w:rsid w:val="00835646"/>
    <w:rsid w:val="008743EE"/>
    <w:rsid w:val="00982135"/>
    <w:rsid w:val="00996C64"/>
    <w:rsid w:val="00BD133C"/>
    <w:rsid w:val="00C8554A"/>
    <w:rsid w:val="00D20090"/>
    <w:rsid w:val="00E45986"/>
    <w:rsid w:val="00E833DF"/>
    <w:rsid w:val="00EB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81">
      <w:bodyDiv w:val="1"/>
      <w:marLeft w:val="0"/>
      <w:marRight w:val="0"/>
      <w:marTop w:val="0"/>
      <w:marBottom w:val="0"/>
      <w:divBdr>
        <w:top w:val="none" w:sz="0" w:space="0" w:color="auto"/>
        <w:left w:val="none" w:sz="0" w:space="0" w:color="auto"/>
        <w:bottom w:val="none" w:sz="0" w:space="0" w:color="auto"/>
        <w:right w:val="none" w:sz="0" w:space="0" w:color="auto"/>
      </w:divBdr>
    </w:div>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2134772">
      <w:bodyDiv w:val="1"/>
      <w:marLeft w:val="0"/>
      <w:marRight w:val="0"/>
      <w:marTop w:val="0"/>
      <w:marBottom w:val="0"/>
      <w:divBdr>
        <w:top w:val="none" w:sz="0" w:space="0" w:color="auto"/>
        <w:left w:val="none" w:sz="0" w:space="0" w:color="auto"/>
        <w:bottom w:val="none" w:sz="0" w:space="0" w:color="auto"/>
        <w:right w:val="none" w:sz="0" w:space="0" w:color="auto"/>
      </w:divBdr>
    </w:div>
    <w:div w:id="1019047357">
      <w:bodyDiv w:val="1"/>
      <w:marLeft w:val="0"/>
      <w:marRight w:val="0"/>
      <w:marTop w:val="0"/>
      <w:marBottom w:val="0"/>
      <w:divBdr>
        <w:top w:val="none" w:sz="0" w:space="0" w:color="auto"/>
        <w:left w:val="none" w:sz="0" w:space="0" w:color="auto"/>
        <w:bottom w:val="none" w:sz="0" w:space="0" w:color="auto"/>
        <w:right w:val="none" w:sz="0" w:space="0" w:color="auto"/>
      </w:divBdr>
    </w:div>
    <w:div w:id="1104228861">
      <w:bodyDiv w:val="1"/>
      <w:marLeft w:val="0"/>
      <w:marRight w:val="0"/>
      <w:marTop w:val="0"/>
      <w:marBottom w:val="0"/>
      <w:divBdr>
        <w:top w:val="none" w:sz="0" w:space="0" w:color="auto"/>
        <w:left w:val="none" w:sz="0" w:space="0" w:color="auto"/>
        <w:bottom w:val="none" w:sz="0" w:space="0" w:color="auto"/>
        <w:right w:val="none" w:sz="0" w:space="0" w:color="auto"/>
      </w:divBdr>
    </w:div>
    <w:div w:id="1289314456">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1953709513">
      <w:bodyDiv w:val="1"/>
      <w:marLeft w:val="0"/>
      <w:marRight w:val="0"/>
      <w:marTop w:val="0"/>
      <w:marBottom w:val="0"/>
      <w:divBdr>
        <w:top w:val="none" w:sz="0" w:space="0" w:color="auto"/>
        <w:left w:val="none" w:sz="0" w:space="0" w:color="auto"/>
        <w:bottom w:val="none" w:sz="0" w:space="0" w:color="auto"/>
        <w:right w:val="none" w:sz="0" w:space="0" w:color="auto"/>
      </w:divBdr>
    </w:div>
    <w:div w:id="196531248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2015</Characters>
  <Application>Microsoft Office Word</Application>
  <DocSecurity>0</DocSecurity>
  <Lines>43</Lines>
  <Paragraphs>8</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2025-03-10T14:46:00Z</dcterms:created>
  <dcterms:modified xsi:type="dcterms:W3CDTF">2025-03-10T14:46:00Z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