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F4EDFD" w14:textId="77777777" w:rsidR="004C5A0F" w:rsidRDefault="004C5A0F" w:rsidP="00FD42B2">
      <w:pPr>
        <w:pStyle w:val="NormalWeb"/>
        <w:shd w:val="clear" w:color="auto" w:fill="FFFFFF"/>
        <w:rPr>
          <w:rStyle w:val="Strong"/>
          <w:rFonts w:ascii="Segoe UI" w:hAnsi="Segoe UI" w:cs="Segoe UI"/>
          <w:color w:val="212529"/>
        </w:rPr>
      </w:pPr>
      <w:r w:rsidRPr="004C5A0F">
        <w:rPr>
          <w:rStyle w:val="Strong"/>
          <w:rFonts w:ascii="Segoe UI" w:hAnsi="Segoe UI" w:cs="Segoe UI"/>
          <w:color w:val="212529"/>
        </w:rPr>
        <w:t>Prevalence of irritable bowel syndrome and functional dyspepsia after acute gastroenteritis: systematic review and meta-analysis</w:t>
      </w:r>
    </w:p>
    <w:p w14:paraId="5A61E388" w14:textId="499F53BF" w:rsidR="00BA7A13" w:rsidRDefault="00BA7A13" w:rsidP="009C3722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BA7A13">
        <w:rPr>
          <w:rFonts w:ascii="Segoe UI" w:hAnsi="Segoe UI" w:cs="Segoe UI"/>
          <w:color w:val="212529"/>
        </w:rPr>
        <w:t xml:space="preserve">Porcari S, Ingrosso M, Maida M, et al. </w:t>
      </w:r>
      <w:hyperlink r:id="rId5" w:history="1">
        <w:r w:rsidRPr="00B656E5">
          <w:rPr>
            <w:rStyle w:val="Hyperlink"/>
            <w:rFonts w:ascii="Segoe UI" w:hAnsi="Segoe UI" w:cs="Segoe UI"/>
          </w:rPr>
          <w:t>Prevalence of irritable bowel syndrome and functional dyspepsia after acute gastroenteritis: systematic review and meta-analysis</w:t>
        </w:r>
      </w:hyperlink>
      <w:r w:rsidRPr="00BA7A13">
        <w:rPr>
          <w:rFonts w:ascii="Segoe UI" w:hAnsi="Segoe UI" w:cs="Segoe UI"/>
          <w:color w:val="212529"/>
        </w:rPr>
        <w:t xml:space="preserve">. Gut 2024; 73: 1431-1440. doi: 10.1136/gutjnl-2023-331835. </w:t>
      </w:r>
    </w:p>
    <w:p w14:paraId="773E0FCB" w14:textId="76940C15" w:rsidR="00BC5CC7" w:rsidRPr="00BC5CC7" w:rsidRDefault="00BC5CC7" w:rsidP="00BC5CC7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BC5CC7">
        <w:rPr>
          <w:rFonts w:ascii="Segoe UI" w:hAnsi="Segoe UI" w:cs="Segoe UI"/>
          <w:color w:val="212529"/>
        </w:rPr>
        <w:t>Acute infectious gastroenteritis is a recognised risk factor for disorders of gut-brain interaction (DGBI). Subtypes of DGBI, such as irritable bowel syndrome (IBS) and functional dyspepsia (FD) have a clear post infectious (PI) origin. The introduction of the Rome IV criteria has altered the DGBI criteria and resulted in a subsequent decrease in IBS prevalence whilst comprehensive data on the prevalence of PI-FD is limited.  Porcari et al., sought to evaluate the prevalence of PI-IBS and PI-FD.</w:t>
      </w:r>
    </w:p>
    <w:p w14:paraId="0D5E0556" w14:textId="5E7A39F2" w:rsidR="00BC5CC7" w:rsidRPr="00BC5CC7" w:rsidRDefault="00BC5CC7" w:rsidP="00BC5CC7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BC5CC7">
        <w:rPr>
          <w:rFonts w:ascii="Segoe UI" w:hAnsi="Segoe UI" w:cs="Segoe UI"/>
          <w:color w:val="212529"/>
        </w:rPr>
        <w:t>In total 47 studies including 28170 subjects were included in the final analysis. Prevalence of PI-IBS and PI-FD were 14.3% and 12.7% respectively. Individuals with acute gastroenteritis had significantly higher odds of IBS (OR 4.3) and FD (OR 3.0) compared to non-exposed controls. In 2 studies PI-IBS was most associated with parasites (30.1%) followed by bacteria (18.3%) and viruses (10.7%). Campylobacter was associated with the highest PI-IBS prevalence (20.7%). Proteobacteria and SAR-CoV-2 yielded highest odds for PI-IBS (OR 5.4 for both). PI-FD prevalence was 10.0% for SARS-CoV2 and 13.6% for bacteria.</w:t>
      </w:r>
    </w:p>
    <w:p w14:paraId="63716D0E" w14:textId="69614239" w:rsidR="00BC5CC7" w:rsidRPr="00BC5CC7" w:rsidRDefault="00BC5CC7" w:rsidP="00BC5CC7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BC5CC7">
        <w:rPr>
          <w:rFonts w:ascii="Segoe UI" w:hAnsi="Segoe UI" w:cs="Segoe UI"/>
          <w:color w:val="212529"/>
        </w:rPr>
        <w:t>There were considerable persistence rates of PI-IBS (52.3% of subjects at 1-4 years follow up and 39.8% at greater than 5 years follow up).</w:t>
      </w:r>
    </w:p>
    <w:p w14:paraId="5186D5EB" w14:textId="3CA9C1D2" w:rsidR="00BC5CC7" w:rsidRPr="00BC5CC7" w:rsidRDefault="00BC5CC7" w:rsidP="00BC5CC7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BC5CC7">
        <w:rPr>
          <w:rFonts w:ascii="Segoe UI" w:hAnsi="Segoe UI" w:cs="Segoe UI"/>
          <w:color w:val="212529"/>
        </w:rPr>
        <w:t>Whilst this is the largest meta-analysis to evaluate the prevalence of PI-IBS and PI-FD after acute gastroenteritis the study has some limitations. Most of the analyses contained moderate to high heterogeneity and most studies came from Western populations. Areas with a high prevalence of acute gastroenteritis, such as the Asia-Pacific region and Africa had little data. Finally, several studies lacked microbiological evidence of gastroenteritis limiting the assessment of the microbial strains involved in PI-IBS and PI-FD.</w:t>
      </w:r>
    </w:p>
    <w:p w14:paraId="7B5F1B0B" w14:textId="3CC969D2" w:rsidR="00DD3D75" w:rsidRPr="000443E7" w:rsidRDefault="00BC5CC7" w:rsidP="00BC5CC7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BC5CC7">
        <w:rPr>
          <w:rFonts w:ascii="Segoe UI" w:hAnsi="Segoe UI" w:cs="Segoe UI"/>
          <w:color w:val="212529"/>
        </w:rPr>
        <w:t xml:space="preserve">Porcari et al., conclude that individuals experiencing acute gastroenteritis had a greater than fourfold increase odds for IBS and threefold increase for FD. </w:t>
      </w:r>
      <w:r w:rsidRPr="00BC5CC7">
        <w:rPr>
          <w:rFonts w:ascii="Segoe UI" w:hAnsi="Segoe UI" w:cs="Segoe UI"/>
          <w:color w:val="212529"/>
        </w:rPr>
        <w:lastRenderedPageBreak/>
        <w:t>Proinflammatory microbes may be associated with development of PI-IBS and PI-FD including proteobacteria and SARS-CoV-2.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094884"/>
    <w:rsid w:val="000D7F6F"/>
    <w:rsid w:val="00140094"/>
    <w:rsid w:val="00150375"/>
    <w:rsid w:val="00191627"/>
    <w:rsid w:val="001C78CF"/>
    <w:rsid w:val="001D19ED"/>
    <w:rsid w:val="00226225"/>
    <w:rsid w:val="00246A9F"/>
    <w:rsid w:val="003C1A61"/>
    <w:rsid w:val="003D0EC1"/>
    <w:rsid w:val="003D6642"/>
    <w:rsid w:val="00404D48"/>
    <w:rsid w:val="004758C3"/>
    <w:rsid w:val="004B058A"/>
    <w:rsid w:val="004C5A0F"/>
    <w:rsid w:val="004F4518"/>
    <w:rsid w:val="004F651F"/>
    <w:rsid w:val="00562D3A"/>
    <w:rsid w:val="00617941"/>
    <w:rsid w:val="00617D8C"/>
    <w:rsid w:val="006C2054"/>
    <w:rsid w:val="00751B72"/>
    <w:rsid w:val="007E65BF"/>
    <w:rsid w:val="00891ACE"/>
    <w:rsid w:val="008A20F5"/>
    <w:rsid w:val="0098392B"/>
    <w:rsid w:val="009C3722"/>
    <w:rsid w:val="00A6790F"/>
    <w:rsid w:val="00A71F20"/>
    <w:rsid w:val="00AB5A0F"/>
    <w:rsid w:val="00AE425A"/>
    <w:rsid w:val="00B656E5"/>
    <w:rsid w:val="00B66B74"/>
    <w:rsid w:val="00B8275A"/>
    <w:rsid w:val="00BA7A13"/>
    <w:rsid w:val="00BC5CC7"/>
    <w:rsid w:val="00BF6A05"/>
    <w:rsid w:val="00C1480D"/>
    <w:rsid w:val="00C411E5"/>
    <w:rsid w:val="00CC6F83"/>
    <w:rsid w:val="00CF5E7E"/>
    <w:rsid w:val="00D4264D"/>
    <w:rsid w:val="00DD3D75"/>
    <w:rsid w:val="00DE5FFA"/>
    <w:rsid w:val="00E460D2"/>
    <w:rsid w:val="00ED7B18"/>
    <w:rsid w:val="00F16A42"/>
    <w:rsid w:val="00F833B0"/>
    <w:rsid w:val="00FD42B2"/>
    <w:rsid w:val="00FE27C8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E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9/143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6</cp:revision>
  <dcterms:created xsi:type="dcterms:W3CDTF">2024-10-15T10:10:00Z</dcterms:created>
  <dcterms:modified xsi:type="dcterms:W3CDTF">2024-10-15T10:10:00Z</dcterms:modified>
</cp:coreProperties>
</file>